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E5" w:rsidRPr="00555A58" w:rsidRDefault="009407E5" w:rsidP="009407E5">
      <w:pPr>
        <w:autoSpaceDE w:val="0"/>
        <w:autoSpaceDN w:val="0"/>
        <w:adjustRightInd w:val="0"/>
        <w:jc w:val="center"/>
        <w:rPr>
          <w:rFonts w:eastAsiaTheme="minorHAnsi"/>
          <w:b/>
        </w:rPr>
      </w:pPr>
      <w:r w:rsidRPr="00555A58">
        <w:rPr>
          <w:b/>
          <w:color w:val="000000"/>
          <w:lang w:eastAsia="ru-RU"/>
        </w:rPr>
        <w:t xml:space="preserve">СООБЩЕНИЕ О СУЩЕСТВЕННОМ ФАКТЕ </w:t>
      </w:r>
      <w:r w:rsidRPr="00555A58">
        <w:rPr>
          <w:b/>
          <w:color w:val="000000"/>
          <w:lang w:eastAsia="ru-RU"/>
        </w:rPr>
        <w:br/>
      </w:r>
      <w:r w:rsidRPr="00555A58">
        <w:rPr>
          <w:rFonts w:eastAsiaTheme="minorHAnsi"/>
          <w:b/>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tbl>
      <w:tblPr>
        <w:tblW w:w="0" w:type="auto"/>
        <w:tblInd w:w="910" w:type="dxa"/>
        <w:tblLook w:val="00A0" w:firstRow="1" w:lastRow="0" w:firstColumn="1" w:lastColumn="0" w:noHBand="0" w:noVBand="0"/>
      </w:tblPr>
      <w:tblGrid>
        <w:gridCol w:w="4486"/>
        <w:gridCol w:w="5060"/>
      </w:tblGrid>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center"/>
              <w:rPr>
                <w:sz w:val="20"/>
                <w:szCs w:val="20"/>
              </w:rPr>
            </w:pPr>
            <w:r w:rsidRPr="00555A58">
              <w:rPr>
                <w:sz w:val="20"/>
                <w:szCs w:val="20"/>
              </w:rPr>
              <w:t>1. Общие сведения</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1.1. Полное фирменное наименование эмитента (для некоммерческой организации – наименование)</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Публичное акционерное общество “Кузбасская Топливная Компания”</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1.2. Сокращенное фирменное наименование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1Head11"/>
              <w:rPr>
                <w:sz w:val="20"/>
                <w:szCs w:val="20"/>
              </w:rPr>
            </w:pPr>
            <w:r w:rsidRPr="00555A58">
              <w:rPr>
                <w:sz w:val="20"/>
                <w:szCs w:val="20"/>
              </w:rPr>
              <w:t>ПАО “КТК”</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1.3. Место нахождения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bookmarkStart w:id="0" w:name="OLE_LINK2"/>
            <w:r w:rsidRPr="00555A58">
              <w:rPr>
                <w:i/>
                <w:iCs/>
              </w:rPr>
              <w:t>650000, Кемеровская область, город Кемерово, улица 50 лет Октября, дом № 4</w:t>
            </w:r>
            <w:bookmarkEnd w:id="0"/>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1.4. ОГРН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1024200692009</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1.5. ИНН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4205003440</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1.6. Уникальный код эмитента, присвоенный регистрирующим органом</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11330-</w:t>
            </w:r>
            <w:r w:rsidRPr="00555A58">
              <w:rPr>
                <w:i/>
                <w:iCs/>
                <w:lang w:val="en-US"/>
              </w:rPr>
              <w:t>F</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1.7. Адрес страницы в сети Интернет, используемой эмитентом для раскрытия информации</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126055" w:rsidP="007C5E93">
            <w:pPr>
              <w:adjustRightInd w:val="0"/>
              <w:jc w:val="both"/>
              <w:rPr>
                <w:i/>
                <w:iCs/>
              </w:rPr>
            </w:pPr>
            <w:hyperlink r:id="rId5" w:history="1">
              <w:r w:rsidR="009407E5" w:rsidRPr="00555A58">
                <w:rPr>
                  <w:rStyle w:val="a3"/>
                  <w:i/>
                </w:rPr>
                <w:t>http://www.e-disclosure.ru/portal/company.aspx?id=5964</w:t>
              </w:r>
            </w:hyperlink>
            <w:r w:rsidR="009407E5" w:rsidRPr="00555A58">
              <w:rPr>
                <w:i/>
              </w:rPr>
              <w:t xml:space="preserve"> </w:t>
            </w:r>
          </w:p>
          <w:p w:rsidR="009407E5" w:rsidRPr="00555A58" w:rsidRDefault="00126055" w:rsidP="007C5E93">
            <w:pPr>
              <w:ind w:left="35"/>
              <w:jc w:val="both"/>
              <w:rPr>
                <w:i/>
                <w:iCs/>
              </w:rPr>
            </w:pPr>
            <w:hyperlink r:id="rId6" w:history="1">
              <w:r w:rsidR="009407E5" w:rsidRPr="00555A58">
                <w:rPr>
                  <w:rStyle w:val="a3"/>
                  <w:bCs/>
                  <w:i/>
                </w:rPr>
                <w:t>http://ktk.company</w:t>
              </w:r>
            </w:hyperlink>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left"/>
              <w:rPr>
                <w:sz w:val="20"/>
                <w:szCs w:val="20"/>
              </w:rPr>
            </w:pPr>
            <w:r w:rsidRPr="00555A58">
              <w:rPr>
                <w:sz w:val="20"/>
                <w:szCs w:val="20"/>
              </w:rPr>
              <w:t xml:space="preserve">1.8. </w:t>
            </w:r>
            <w:r w:rsidRPr="00555A58">
              <w:rPr>
                <w:rFonts w:eastAsia="Calibri"/>
                <w:sz w:val="20"/>
                <w:szCs w:val="20"/>
              </w:rPr>
              <w:t>Дата наступления события (существенного факта), о котором составлено сообщение (если применимо)</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EF69F0" w:rsidP="00126055">
            <w:pPr>
              <w:adjustRightInd w:val="0"/>
              <w:jc w:val="both"/>
              <w:rPr>
                <w:i/>
              </w:rPr>
            </w:pPr>
            <w:r>
              <w:rPr>
                <w:i/>
                <w:color w:val="000000"/>
                <w:lang w:eastAsia="ru-RU"/>
              </w:rPr>
              <w:t>«2</w:t>
            </w:r>
            <w:r w:rsidR="00126055">
              <w:rPr>
                <w:i/>
                <w:color w:val="000000"/>
                <w:lang w:eastAsia="ru-RU"/>
              </w:rPr>
              <w:t>9</w:t>
            </w:r>
            <w:r w:rsidRPr="00827872">
              <w:rPr>
                <w:i/>
                <w:color w:val="000000"/>
                <w:lang w:eastAsia="ru-RU"/>
              </w:rPr>
              <w:t xml:space="preserve">» </w:t>
            </w:r>
            <w:r>
              <w:rPr>
                <w:i/>
                <w:color w:val="000000"/>
                <w:lang w:eastAsia="ru-RU"/>
              </w:rPr>
              <w:t>октября</w:t>
            </w:r>
            <w:r w:rsidRPr="00827872">
              <w:rPr>
                <w:i/>
                <w:color w:val="000000"/>
                <w:lang w:eastAsia="ru-RU"/>
              </w:rPr>
              <w:t xml:space="preserve"> 2019 года</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center"/>
              <w:rPr>
                <w:sz w:val="20"/>
                <w:szCs w:val="20"/>
              </w:rPr>
            </w:pPr>
            <w:r w:rsidRPr="00555A58">
              <w:rPr>
                <w:sz w:val="20"/>
                <w:szCs w:val="20"/>
              </w:rPr>
              <w:t>2. Содержание сообщения</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555A58" w:rsidRPr="00555A58" w:rsidRDefault="00A91686" w:rsidP="00EE3C3D">
            <w:pPr>
              <w:autoSpaceDE w:val="0"/>
              <w:autoSpaceDN w:val="0"/>
              <w:adjustRightInd w:val="0"/>
              <w:jc w:val="both"/>
              <w:rPr>
                <w:rFonts w:eastAsiaTheme="minorHAnsi"/>
                <w:bCs/>
              </w:rPr>
            </w:pPr>
            <w:r w:rsidRPr="00555A58">
              <w:rPr>
                <w:rFonts w:eastAsiaTheme="minorHAnsi"/>
                <w:bCs/>
              </w:rPr>
              <w:t xml:space="preserve">Фамилия, имя, отчество физического лица, которое приобрело право распоряжаться определенным количеством голосов, приходящихся на голосующие акции, составляющие уставный капитал эмитента: </w:t>
            </w:r>
          </w:p>
          <w:p w:rsidR="00555A58" w:rsidRPr="00555A58" w:rsidRDefault="00587FFB" w:rsidP="00EE3C3D">
            <w:pPr>
              <w:autoSpaceDE w:val="0"/>
              <w:autoSpaceDN w:val="0"/>
              <w:adjustRightInd w:val="0"/>
              <w:jc w:val="both"/>
              <w:rPr>
                <w:i/>
              </w:rPr>
            </w:pPr>
            <w:r w:rsidRPr="00555A58">
              <w:rPr>
                <w:rFonts w:eastAsiaTheme="minorHAnsi"/>
                <w:bCs/>
              </w:rPr>
              <w:t xml:space="preserve">1) </w:t>
            </w:r>
            <w:r w:rsidRPr="00555A58">
              <w:rPr>
                <w:i/>
              </w:rPr>
              <w:t xml:space="preserve">Гуцериев Саид Михайлович; </w:t>
            </w:r>
          </w:p>
          <w:p w:rsidR="00514FCB" w:rsidRPr="00555A58" w:rsidRDefault="00587FFB" w:rsidP="00EE3C3D">
            <w:pPr>
              <w:autoSpaceDE w:val="0"/>
              <w:autoSpaceDN w:val="0"/>
              <w:adjustRightInd w:val="0"/>
              <w:jc w:val="both"/>
              <w:rPr>
                <w:rFonts w:eastAsiaTheme="minorHAnsi"/>
                <w:bCs/>
                <w:i/>
              </w:rPr>
            </w:pPr>
            <w:r w:rsidRPr="00555A58">
              <w:rPr>
                <w:i/>
              </w:rPr>
              <w:t xml:space="preserve">2) </w:t>
            </w:r>
            <w:r w:rsidR="00004949" w:rsidRPr="00555A58">
              <w:rPr>
                <w:i/>
              </w:rPr>
              <w:t xml:space="preserve">Гуцериев </w:t>
            </w:r>
            <w:proofErr w:type="spellStart"/>
            <w:r w:rsidR="00004949" w:rsidRPr="00555A58">
              <w:rPr>
                <w:i/>
              </w:rPr>
              <w:t>Микаил</w:t>
            </w:r>
            <w:proofErr w:type="spellEnd"/>
            <w:r w:rsidR="00004949" w:rsidRPr="00555A58">
              <w:rPr>
                <w:i/>
              </w:rPr>
              <w:t xml:space="preserve"> </w:t>
            </w:r>
            <w:proofErr w:type="spellStart"/>
            <w:r w:rsidR="00004949" w:rsidRPr="00555A58">
              <w:rPr>
                <w:i/>
              </w:rPr>
              <w:t>Сафарбекович</w:t>
            </w:r>
            <w:proofErr w:type="spellEnd"/>
            <w:r w:rsidR="00A91686" w:rsidRPr="00555A58">
              <w:rPr>
                <w:rFonts w:eastAsiaTheme="minorHAnsi"/>
                <w:bCs/>
                <w:i/>
              </w:rPr>
              <w:t>;</w:t>
            </w:r>
          </w:p>
          <w:p w:rsidR="00555A58" w:rsidRPr="00555A58" w:rsidRDefault="00555A58" w:rsidP="00EE3C3D">
            <w:pPr>
              <w:autoSpaceDE w:val="0"/>
              <w:autoSpaceDN w:val="0"/>
              <w:adjustRightInd w:val="0"/>
              <w:jc w:val="both"/>
              <w:rPr>
                <w:rFonts w:eastAsiaTheme="minorHAnsi"/>
                <w:bCs/>
              </w:rPr>
            </w:pPr>
          </w:p>
          <w:p w:rsidR="00A91686" w:rsidRPr="00555A58" w:rsidRDefault="00A91686" w:rsidP="00EE3C3D">
            <w:pPr>
              <w:autoSpaceDE w:val="0"/>
              <w:autoSpaceDN w:val="0"/>
              <w:adjustRightInd w:val="0"/>
              <w:jc w:val="both"/>
              <w:rPr>
                <w:rFonts w:eastAsiaTheme="minorHAnsi"/>
                <w:bCs/>
                <w:i/>
              </w:rPr>
            </w:pPr>
            <w:r w:rsidRPr="00555A58">
              <w:rPr>
                <w:rFonts w:eastAsiaTheme="minorHAnsi"/>
                <w:bCs/>
              </w:rPr>
              <w:t xml:space="preserve">Вид права распоряжения определенным количеством голосов, приходящихся на голосующие акции, составляющие уставный капитал эмитента, которое приобрело соответствующее лицо: </w:t>
            </w:r>
            <w:r w:rsidRPr="00555A58">
              <w:rPr>
                <w:rFonts w:eastAsiaTheme="minorHAnsi"/>
                <w:bCs/>
                <w:i/>
              </w:rPr>
              <w:t>косвенное распоряжение;</w:t>
            </w:r>
          </w:p>
          <w:p w:rsidR="00555A58" w:rsidRPr="00555A58" w:rsidRDefault="00555A58" w:rsidP="00EE3C3D">
            <w:pPr>
              <w:autoSpaceDE w:val="0"/>
              <w:autoSpaceDN w:val="0"/>
              <w:adjustRightInd w:val="0"/>
              <w:jc w:val="both"/>
              <w:rPr>
                <w:rFonts w:eastAsiaTheme="minorHAnsi"/>
                <w:bCs/>
              </w:rPr>
            </w:pPr>
          </w:p>
          <w:p w:rsidR="00A91686" w:rsidRPr="00555A58" w:rsidRDefault="00A91686" w:rsidP="00EE3C3D">
            <w:pPr>
              <w:autoSpaceDE w:val="0"/>
              <w:autoSpaceDN w:val="0"/>
              <w:adjustRightInd w:val="0"/>
              <w:jc w:val="both"/>
              <w:rPr>
                <w:rFonts w:eastAsiaTheme="minorHAnsi"/>
                <w:bCs/>
              </w:rPr>
            </w:pPr>
            <w:r w:rsidRPr="00555A58">
              <w:rPr>
                <w:rFonts w:eastAsiaTheme="minorHAnsi"/>
                <w:bCs/>
              </w:rPr>
              <w:t>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555A58" w:rsidRPr="00555A58" w:rsidRDefault="00555A58" w:rsidP="00EE3C3D">
            <w:pPr>
              <w:autoSpaceDE w:val="0"/>
              <w:autoSpaceDN w:val="0"/>
              <w:adjustRightInd w:val="0"/>
              <w:jc w:val="both"/>
              <w:rPr>
                <w:rFonts w:eastAsiaTheme="minorHAnsi"/>
                <w:bCs/>
              </w:rPr>
            </w:pPr>
          </w:p>
          <w:p w:rsidR="00555A58" w:rsidRPr="00555A58" w:rsidRDefault="00587FFB" w:rsidP="00587FFB">
            <w:pPr>
              <w:autoSpaceDE w:val="0"/>
              <w:autoSpaceDN w:val="0"/>
              <w:adjustRightInd w:val="0"/>
              <w:jc w:val="both"/>
              <w:rPr>
                <w:rFonts w:eastAsiaTheme="minorHAnsi"/>
                <w:bCs/>
              </w:rPr>
            </w:pPr>
            <w:r w:rsidRPr="00555A58">
              <w:rPr>
                <w:rFonts w:eastAsiaTheme="minorHAnsi"/>
                <w:bCs/>
              </w:rPr>
              <w:t xml:space="preserve">1) </w:t>
            </w:r>
            <w:r w:rsidR="00555A58" w:rsidRPr="00555A58">
              <w:rPr>
                <w:i/>
              </w:rPr>
              <w:t>Гуцериев Саид Михайлович:</w:t>
            </w:r>
          </w:p>
          <w:p w:rsidR="00587FFB" w:rsidRPr="00555A58" w:rsidRDefault="00587FFB" w:rsidP="00587FFB">
            <w:pPr>
              <w:autoSpaceDE w:val="0"/>
              <w:autoSpaceDN w:val="0"/>
              <w:adjustRightInd w:val="0"/>
              <w:jc w:val="both"/>
            </w:pPr>
            <w:r w:rsidRPr="00555A58">
              <w:rPr>
                <w:rFonts w:eastAsiaTheme="minorHAnsi"/>
                <w:bCs/>
              </w:rPr>
              <w:t xml:space="preserve">Полное фирменное наименование, место </w:t>
            </w:r>
            <w:proofErr w:type="gramStart"/>
            <w:r w:rsidRPr="00555A58">
              <w:rPr>
                <w:rFonts w:eastAsiaTheme="minorHAnsi"/>
                <w:bCs/>
              </w:rPr>
              <w:t>нахождения</w:t>
            </w:r>
            <w:r w:rsidRPr="00555A58">
              <w:rPr>
                <w:rFonts w:eastAsiaTheme="minorHAnsi"/>
                <w:bCs/>
                <w:i/>
              </w:rPr>
              <w:t xml:space="preserve">: </w:t>
            </w:r>
            <w:r w:rsidRPr="00555A58">
              <w:rPr>
                <w:i/>
              </w:rPr>
              <w:t xml:space="preserve"> РОНТЕЛОР</w:t>
            </w:r>
            <w:proofErr w:type="gramEnd"/>
            <w:r w:rsidRPr="00555A58">
              <w:rPr>
                <w:i/>
              </w:rPr>
              <w:t xml:space="preserve"> ХОЛДИНГС ЛИМИТЕД / </w:t>
            </w:r>
            <w:r w:rsidRPr="00555A58">
              <w:rPr>
                <w:i/>
                <w:lang w:val="en-US"/>
              </w:rPr>
              <w:t>RONTELOR</w:t>
            </w:r>
            <w:r w:rsidRPr="00555A58">
              <w:rPr>
                <w:i/>
              </w:rPr>
              <w:t xml:space="preserve"> </w:t>
            </w:r>
            <w:r w:rsidRPr="00555A58">
              <w:rPr>
                <w:i/>
                <w:lang w:val="en-US"/>
              </w:rPr>
              <w:t>HOLDINGS</w:t>
            </w:r>
            <w:r w:rsidRPr="00555A58">
              <w:rPr>
                <w:i/>
              </w:rPr>
              <w:t xml:space="preserve"> </w:t>
            </w:r>
            <w:r w:rsidRPr="00555A58">
              <w:rPr>
                <w:i/>
                <w:lang w:val="en-US"/>
              </w:rPr>
              <w:t>LIMITED</w:t>
            </w:r>
            <w:r w:rsidRPr="00555A58">
              <w:rPr>
                <w:i/>
              </w:rPr>
              <w:t xml:space="preserve">, </w:t>
            </w:r>
            <w:proofErr w:type="spellStart"/>
            <w:r w:rsidRPr="00555A58">
              <w:rPr>
                <w:i/>
              </w:rPr>
              <w:t>Посейдонос</w:t>
            </w:r>
            <w:proofErr w:type="spellEnd"/>
            <w:r w:rsidRPr="00555A58">
              <w:rPr>
                <w:i/>
              </w:rPr>
              <w:t xml:space="preserve">, 1, ЛЕДРА БИЗНЕСС ЦЕНТР, </w:t>
            </w:r>
            <w:proofErr w:type="spellStart"/>
            <w:r w:rsidRPr="00555A58">
              <w:rPr>
                <w:i/>
              </w:rPr>
              <w:t>Эгкоми</w:t>
            </w:r>
            <w:proofErr w:type="spellEnd"/>
            <w:r w:rsidRPr="00555A58">
              <w:rPr>
                <w:i/>
              </w:rPr>
              <w:t>, 2406, Никосия, Кипр;</w:t>
            </w:r>
          </w:p>
          <w:p w:rsidR="00587FFB" w:rsidRPr="00555A58" w:rsidRDefault="00587FFB" w:rsidP="00587FFB">
            <w:pPr>
              <w:autoSpaceDE w:val="0"/>
              <w:autoSpaceDN w:val="0"/>
              <w:adjustRightInd w:val="0"/>
              <w:jc w:val="both"/>
              <w:rPr>
                <w:bCs/>
                <w:i/>
              </w:rPr>
            </w:pPr>
            <w:r w:rsidRPr="00555A58">
              <w:rPr>
                <w:rFonts w:eastAsiaTheme="minorHAnsi"/>
                <w:bCs/>
              </w:rPr>
              <w:t xml:space="preserve">Полное фирменное наименование, место </w:t>
            </w:r>
            <w:proofErr w:type="gramStart"/>
            <w:r w:rsidRPr="00555A58">
              <w:rPr>
                <w:rFonts w:eastAsiaTheme="minorHAnsi"/>
                <w:bCs/>
              </w:rPr>
              <w:t xml:space="preserve">нахождения: </w:t>
            </w:r>
            <w:r w:rsidRPr="00555A58">
              <w:rPr>
                <w:i/>
              </w:rPr>
              <w:t xml:space="preserve"> </w:t>
            </w:r>
            <w:r w:rsidRPr="00555A58">
              <w:rPr>
                <w:bCs/>
                <w:i/>
              </w:rPr>
              <w:t>КИЛТОН</w:t>
            </w:r>
            <w:proofErr w:type="gramEnd"/>
            <w:r w:rsidRPr="00555A58">
              <w:rPr>
                <w:bCs/>
                <w:i/>
              </w:rPr>
              <w:t xml:space="preserve"> ОВЕРСИЗ ЛИМИТЕД, </w:t>
            </w:r>
            <w:proofErr w:type="spellStart"/>
            <w:r w:rsidRPr="00555A58">
              <w:rPr>
                <w:bCs/>
                <w:i/>
              </w:rPr>
              <w:t>Посейдонос</w:t>
            </w:r>
            <w:proofErr w:type="spellEnd"/>
            <w:r w:rsidRPr="00555A58">
              <w:rPr>
                <w:bCs/>
                <w:i/>
              </w:rPr>
              <w:t xml:space="preserve">, 1, ЛЕДРА БИЗНЕСС ЦЕНТР, </w:t>
            </w:r>
            <w:proofErr w:type="spellStart"/>
            <w:r w:rsidRPr="00555A58">
              <w:rPr>
                <w:bCs/>
                <w:i/>
              </w:rPr>
              <w:t>Эгкоми</w:t>
            </w:r>
            <w:proofErr w:type="spellEnd"/>
            <w:r w:rsidRPr="00555A58">
              <w:rPr>
                <w:bCs/>
                <w:i/>
              </w:rPr>
              <w:t>, 2406, Никосия, Кипр.</w:t>
            </w:r>
          </w:p>
          <w:p w:rsidR="00555A58" w:rsidRPr="00555A58" w:rsidRDefault="00555A58" w:rsidP="00587FFB">
            <w:pPr>
              <w:autoSpaceDE w:val="0"/>
              <w:autoSpaceDN w:val="0"/>
              <w:adjustRightInd w:val="0"/>
              <w:jc w:val="both"/>
              <w:rPr>
                <w:i/>
              </w:rPr>
            </w:pPr>
          </w:p>
          <w:p w:rsidR="00555A58" w:rsidRPr="00555A58" w:rsidRDefault="00587FFB" w:rsidP="00EE3C3D">
            <w:pPr>
              <w:autoSpaceDE w:val="0"/>
              <w:autoSpaceDN w:val="0"/>
              <w:adjustRightInd w:val="0"/>
              <w:jc w:val="both"/>
              <w:rPr>
                <w:rFonts w:eastAsiaTheme="minorHAnsi"/>
                <w:bCs/>
              </w:rPr>
            </w:pPr>
            <w:r w:rsidRPr="00555A58">
              <w:rPr>
                <w:rFonts w:eastAsiaTheme="minorHAnsi"/>
                <w:bCs/>
              </w:rPr>
              <w:t xml:space="preserve">2) </w:t>
            </w:r>
            <w:r w:rsidR="00555A58" w:rsidRPr="00555A58">
              <w:rPr>
                <w:i/>
              </w:rPr>
              <w:t xml:space="preserve">Гуцериев </w:t>
            </w:r>
            <w:proofErr w:type="spellStart"/>
            <w:r w:rsidR="00555A58" w:rsidRPr="00555A58">
              <w:rPr>
                <w:i/>
              </w:rPr>
              <w:t>Микаил</w:t>
            </w:r>
            <w:proofErr w:type="spellEnd"/>
            <w:r w:rsidR="00555A58" w:rsidRPr="00555A58">
              <w:rPr>
                <w:i/>
              </w:rPr>
              <w:t xml:space="preserve"> </w:t>
            </w:r>
            <w:proofErr w:type="spellStart"/>
            <w:r w:rsidR="00555A58" w:rsidRPr="00555A58">
              <w:rPr>
                <w:i/>
              </w:rPr>
              <w:t>Сафарбекович</w:t>
            </w:r>
            <w:proofErr w:type="spellEnd"/>
            <w:r w:rsidR="00555A58" w:rsidRPr="00555A58">
              <w:rPr>
                <w:i/>
              </w:rPr>
              <w:t>:</w:t>
            </w:r>
          </w:p>
          <w:p w:rsidR="00A91686" w:rsidRPr="00555A58" w:rsidRDefault="00A91686" w:rsidP="00EE3C3D">
            <w:pPr>
              <w:autoSpaceDE w:val="0"/>
              <w:autoSpaceDN w:val="0"/>
              <w:adjustRightInd w:val="0"/>
              <w:jc w:val="both"/>
            </w:pPr>
            <w:r w:rsidRPr="00555A58">
              <w:rPr>
                <w:rFonts w:eastAsiaTheme="minorHAnsi"/>
                <w:bCs/>
              </w:rPr>
              <w:t xml:space="preserve">Полное фирменное наименование, место </w:t>
            </w:r>
            <w:proofErr w:type="gramStart"/>
            <w:r w:rsidRPr="00555A58">
              <w:rPr>
                <w:rFonts w:eastAsiaTheme="minorHAnsi"/>
                <w:bCs/>
              </w:rPr>
              <w:t>нахождения</w:t>
            </w:r>
            <w:r w:rsidRPr="00555A58">
              <w:rPr>
                <w:rFonts w:eastAsiaTheme="minorHAnsi"/>
                <w:bCs/>
                <w:i/>
              </w:rPr>
              <w:t xml:space="preserve">: </w:t>
            </w:r>
            <w:r w:rsidR="003745DD" w:rsidRPr="00555A58">
              <w:rPr>
                <w:i/>
              </w:rPr>
              <w:t xml:space="preserve"> </w:t>
            </w:r>
            <w:r w:rsidR="00004949" w:rsidRPr="00555A58">
              <w:rPr>
                <w:i/>
              </w:rPr>
              <w:t xml:space="preserve"> </w:t>
            </w:r>
            <w:proofErr w:type="gramEnd"/>
            <w:r w:rsidR="00004949" w:rsidRPr="00555A58">
              <w:rPr>
                <w:i/>
              </w:rPr>
              <w:t xml:space="preserve"> ХЕМФИЛД ФАЙНЕНС ЛИМИТЕД / </w:t>
            </w:r>
            <w:r w:rsidR="00004949" w:rsidRPr="00555A58">
              <w:rPr>
                <w:i/>
                <w:lang w:val="en-US"/>
              </w:rPr>
              <w:t>HEMFIELD</w:t>
            </w:r>
            <w:r w:rsidR="00004949" w:rsidRPr="00555A58">
              <w:rPr>
                <w:i/>
              </w:rPr>
              <w:t xml:space="preserve"> </w:t>
            </w:r>
            <w:r w:rsidR="00004949" w:rsidRPr="00555A58">
              <w:rPr>
                <w:i/>
                <w:lang w:val="en-US"/>
              </w:rPr>
              <w:t>FINANCE</w:t>
            </w:r>
            <w:r w:rsidR="00004949" w:rsidRPr="00555A58">
              <w:rPr>
                <w:i/>
              </w:rPr>
              <w:t xml:space="preserve"> </w:t>
            </w:r>
            <w:r w:rsidR="00004949" w:rsidRPr="00555A58">
              <w:rPr>
                <w:i/>
                <w:lang w:val="en-US"/>
              </w:rPr>
              <w:t>LIMITED</w:t>
            </w:r>
            <w:r w:rsidR="00004949" w:rsidRPr="00555A58">
              <w:rPr>
                <w:i/>
              </w:rPr>
              <w:t xml:space="preserve">, </w:t>
            </w:r>
            <w:proofErr w:type="spellStart"/>
            <w:r w:rsidR="00004949" w:rsidRPr="00555A58">
              <w:rPr>
                <w:i/>
              </w:rPr>
              <w:t>Посейдонос</w:t>
            </w:r>
            <w:proofErr w:type="spellEnd"/>
            <w:r w:rsidR="00004949" w:rsidRPr="00555A58">
              <w:rPr>
                <w:i/>
              </w:rPr>
              <w:t xml:space="preserve">, 1, ЛЕДРА БИЗНЕСС ЦЕНТР, </w:t>
            </w:r>
            <w:proofErr w:type="spellStart"/>
            <w:r w:rsidR="00004949" w:rsidRPr="00555A58">
              <w:rPr>
                <w:i/>
              </w:rPr>
              <w:t>Эгкоми</w:t>
            </w:r>
            <w:proofErr w:type="spellEnd"/>
            <w:r w:rsidR="00004949" w:rsidRPr="00555A58">
              <w:rPr>
                <w:i/>
              </w:rPr>
              <w:t>, 2406, Никосия, Кипр;</w:t>
            </w:r>
          </w:p>
          <w:p w:rsidR="00A91686" w:rsidRPr="00555A58" w:rsidRDefault="00A91686" w:rsidP="00EE3C3D">
            <w:pPr>
              <w:autoSpaceDE w:val="0"/>
              <w:autoSpaceDN w:val="0"/>
              <w:adjustRightInd w:val="0"/>
              <w:jc w:val="both"/>
              <w:rPr>
                <w:i/>
              </w:rPr>
            </w:pPr>
            <w:r w:rsidRPr="00555A58">
              <w:rPr>
                <w:rFonts w:eastAsiaTheme="minorHAnsi"/>
                <w:bCs/>
              </w:rPr>
              <w:t xml:space="preserve">Полное фирменное наименование, место </w:t>
            </w:r>
            <w:proofErr w:type="gramStart"/>
            <w:r w:rsidRPr="00555A58">
              <w:rPr>
                <w:rFonts w:eastAsiaTheme="minorHAnsi"/>
                <w:bCs/>
              </w:rPr>
              <w:t xml:space="preserve">нахождения: </w:t>
            </w:r>
            <w:r w:rsidR="003745DD" w:rsidRPr="00555A58">
              <w:rPr>
                <w:i/>
              </w:rPr>
              <w:t xml:space="preserve"> </w:t>
            </w:r>
            <w:r w:rsidR="00004949" w:rsidRPr="00555A58">
              <w:rPr>
                <w:bCs/>
                <w:i/>
              </w:rPr>
              <w:t xml:space="preserve"> </w:t>
            </w:r>
            <w:proofErr w:type="gramEnd"/>
            <w:r w:rsidR="00004949" w:rsidRPr="00555A58">
              <w:rPr>
                <w:i/>
              </w:rPr>
              <w:t xml:space="preserve">РОНТЕЛОР ХОЛДИНГС ЛИМИТЕД / </w:t>
            </w:r>
            <w:r w:rsidR="00004949" w:rsidRPr="00555A58">
              <w:rPr>
                <w:i/>
                <w:lang w:val="en-US"/>
              </w:rPr>
              <w:t>RONTELOR</w:t>
            </w:r>
            <w:r w:rsidR="00004949" w:rsidRPr="00555A58">
              <w:rPr>
                <w:i/>
              </w:rPr>
              <w:t xml:space="preserve"> </w:t>
            </w:r>
            <w:r w:rsidR="00004949" w:rsidRPr="00555A58">
              <w:rPr>
                <w:i/>
                <w:lang w:val="en-US"/>
              </w:rPr>
              <w:t>HOLDINGS</w:t>
            </w:r>
            <w:r w:rsidR="00004949" w:rsidRPr="00555A58">
              <w:rPr>
                <w:i/>
              </w:rPr>
              <w:t xml:space="preserve"> </w:t>
            </w:r>
            <w:r w:rsidR="00004949" w:rsidRPr="00555A58">
              <w:rPr>
                <w:i/>
                <w:lang w:val="en-US"/>
              </w:rPr>
              <w:t>LIMITED</w:t>
            </w:r>
            <w:r w:rsidR="00004949" w:rsidRPr="00555A58">
              <w:rPr>
                <w:i/>
              </w:rPr>
              <w:t xml:space="preserve">, </w:t>
            </w:r>
            <w:proofErr w:type="spellStart"/>
            <w:r w:rsidR="00004949" w:rsidRPr="00555A58">
              <w:rPr>
                <w:i/>
              </w:rPr>
              <w:t>Посейдонос</w:t>
            </w:r>
            <w:proofErr w:type="spellEnd"/>
            <w:r w:rsidR="00004949" w:rsidRPr="00555A58">
              <w:rPr>
                <w:i/>
              </w:rPr>
              <w:t xml:space="preserve">, 1, ЛЕДРА БИЗНЕСС ЦЕНТР, </w:t>
            </w:r>
            <w:proofErr w:type="spellStart"/>
            <w:r w:rsidR="00004949" w:rsidRPr="00555A58">
              <w:rPr>
                <w:i/>
              </w:rPr>
              <w:t>Эгкоми</w:t>
            </w:r>
            <w:proofErr w:type="spellEnd"/>
            <w:r w:rsidR="00004949" w:rsidRPr="00555A58">
              <w:rPr>
                <w:i/>
              </w:rPr>
              <w:t>, 2406, Никосия, Кипр;</w:t>
            </w:r>
          </w:p>
          <w:p w:rsidR="00004949" w:rsidRPr="00555A58" w:rsidRDefault="00004949" w:rsidP="00EE3C3D">
            <w:pPr>
              <w:autoSpaceDE w:val="0"/>
              <w:autoSpaceDN w:val="0"/>
              <w:adjustRightInd w:val="0"/>
              <w:jc w:val="both"/>
              <w:rPr>
                <w:bCs/>
                <w:i/>
              </w:rPr>
            </w:pPr>
            <w:r w:rsidRPr="00555A58">
              <w:rPr>
                <w:bCs/>
                <w:i/>
              </w:rPr>
              <w:t>КИЛТОН ОВЕРСИЗ ЛИМИТЕД;</w:t>
            </w:r>
          </w:p>
          <w:p w:rsidR="00004949" w:rsidRPr="00555A58" w:rsidRDefault="00004949" w:rsidP="00004949">
            <w:pPr>
              <w:autoSpaceDE w:val="0"/>
              <w:autoSpaceDN w:val="0"/>
              <w:adjustRightInd w:val="0"/>
              <w:jc w:val="both"/>
              <w:rPr>
                <w:i/>
              </w:rPr>
            </w:pPr>
            <w:r w:rsidRPr="00555A58">
              <w:rPr>
                <w:rFonts w:eastAsiaTheme="minorHAnsi"/>
                <w:bCs/>
              </w:rPr>
              <w:t xml:space="preserve">Полное фирменное наименование, место </w:t>
            </w:r>
            <w:proofErr w:type="gramStart"/>
            <w:r w:rsidRPr="00555A58">
              <w:rPr>
                <w:rFonts w:eastAsiaTheme="minorHAnsi"/>
                <w:bCs/>
              </w:rPr>
              <w:t xml:space="preserve">нахождения: </w:t>
            </w:r>
            <w:r w:rsidRPr="00555A58">
              <w:rPr>
                <w:i/>
              </w:rPr>
              <w:t xml:space="preserve"> </w:t>
            </w:r>
            <w:r w:rsidRPr="00555A58">
              <w:rPr>
                <w:bCs/>
                <w:i/>
              </w:rPr>
              <w:t>КИЛТОН</w:t>
            </w:r>
            <w:proofErr w:type="gramEnd"/>
            <w:r w:rsidRPr="00555A58">
              <w:rPr>
                <w:bCs/>
                <w:i/>
              </w:rPr>
              <w:t xml:space="preserve"> ОВЕРСИЗ ЛИМИТЕД, </w:t>
            </w:r>
            <w:proofErr w:type="spellStart"/>
            <w:r w:rsidRPr="00555A58">
              <w:rPr>
                <w:bCs/>
                <w:i/>
              </w:rPr>
              <w:t>Посейдонос</w:t>
            </w:r>
            <w:proofErr w:type="spellEnd"/>
            <w:r w:rsidRPr="00555A58">
              <w:rPr>
                <w:bCs/>
                <w:i/>
              </w:rPr>
              <w:t xml:space="preserve">, 1, ЛЕДРА БИЗНЕСС ЦЕНТР, </w:t>
            </w:r>
            <w:proofErr w:type="spellStart"/>
            <w:r w:rsidRPr="00555A58">
              <w:rPr>
                <w:bCs/>
                <w:i/>
              </w:rPr>
              <w:t>Эгкоми</w:t>
            </w:r>
            <w:proofErr w:type="spellEnd"/>
            <w:r w:rsidRPr="00555A58">
              <w:rPr>
                <w:bCs/>
                <w:i/>
              </w:rPr>
              <w:t>, 2406, Никосия, Кипр.</w:t>
            </w:r>
          </w:p>
          <w:p w:rsidR="00514FCB" w:rsidRPr="00555A58" w:rsidRDefault="00514FCB" w:rsidP="00EE3C3D">
            <w:pPr>
              <w:autoSpaceDE w:val="0"/>
              <w:autoSpaceDN w:val="0"/>
              <w:adjustRightInd w:val="0"/>
              <w:jc w:val="both"/>
              <w:rPr>
                <w:rFonts w:eastAsiaTheme="minorHAnsi"/>
                <w:bCs/>
              </w:rPr>
            </w:pPr>
          </w:p>
          <w:p w:rsidR="00EE3C3D" w:rsidRPr="00555A58" w:rsidRDefault="00EE3C3D" w:rsidP="00EE3C3D">
            <w:pPr>
              <w:autoSpaceDE w:val="0"/>
              <w:autoSpaceDN w:val="0"/>
              <w:adjustRightInd w:val="0"/>
              <w:jc w:val="both"/>
              <w:rPr>
                <w:rFonts w:eastAsiaTheme="minorHAnsi"/>
                <w:bCs/>
                <w:i/>
              </w:rPr>
            </w:pPr>
            <w:r w:rsidRPr="00555A58">
              <w:rPr>
                <w:rFonts w:eastAsiaTheme="minorHAnsi"/>
                <w:bCs/>
              </w:rPr>
              <w:t>П</w:t>
            </w:r>
            <w:r w:rsidR="00A91686" w:rsidRPr="00555A58">
              <w:rPr>
                <w:rFonts w:eastAsiaTheme="minorHAnsi"/>
                <w:bCs/>
              </w:rPr>
              <w:t>ризнак права распоряжения определенным количеством голосов, приходя</w:t>
            </w:r>
            <w:r w:rsidRPr="00555A58">
              <w:rPr>
                <w:rFonts w:eastAsiaTheme="minorHAnsi"/>
                <w:bCs/>
              </w:rPr>
              <w:t>щихся на голосующие акции</w:t>
            </w:r>
            <w:r w:rsidR="00A91686" w:rsidRPr="00555A58">
              <w:rPr>
                <w:rFonts w:eastAsiaTheme="minorHAnsi"/>
                <w:bCs/>
              </w:rPr>
              <w:t>, составляющие уставный капитал эмитента, которое приобрело соответствующее лицо</w:t>
            </w:r>
            <w:r w:rsidRPr="00555A58">
              <w:rPr>
                <w:rFonts w:eastAsiaTheme="minorHAnsi"/>
                <w:bCs/>
              </w:rPr>
              <w:t>:</w:t>
            </w:r>
            <w:r w:rsidR="00A91686" w:rsidRPr="00555A58">
              <w:rPr>
                <w:rFonts w:eastAsiaTheme="minorHAnsi"/>
                <w:bCs/>
              </w:rPr>
              <w:t xml:space="preserve"> </w:t>
            </w:r>
            <w:r w:rsidR="00A91686" w:rsidRPr="00555A58">
              <w:rPr>
                <w:rFonts w:eastAsiaTheme="minorHAnsi"/>
                <w:bCs/>
                <w:i/>
              </w:rPr>
              <w:t xml:space="preserve">самостоятельное распоряжение; </w:t>
            </w:r>
          </w:p>
          <w:p w:rsidR="00514FCB" w:rsidRPr="00555A58" w:rsidRDefault="00514FCB" w:rsidP="00EE3C3D">
            <w:pPr>
              <w:autoSpaceDE w:val="0"/>
              <w:autoSpaceDN w:val="0"/>
              <w:adjustRightInd w:val="0"/>
              <w:jc w:val="both"/>
              <w:rPr>
                <w:rFonts w:eastAsiaTheme="minorHAnsi"/>
                <w:bCs/>
              </w:rPr>
            </w:pPr>
          </w:p>
          <w:p w:rsidR="00EE3C3D" w:rsidRPr="00555A58" w:rsidRDefault="00EE3C3D" w:rsidP="00EE3C3D">
            <w:pPr>
              <w:autoSpaceDE w:val="0"/>
              <w:autoSpaceDN w:val="0"/>
              <w:adjustRightInd w:val="0"/>
              <w:jc w:val="both"/>
              <w:rPr>
                <w:rFonts w:eastAsiaTheme="minorHAnsi"/>
                <w:bCs/>
                <w:i/>
              </w:rPr>
            </w:pPr>
            <w:r w:rsidRPr="00555A58">
              <w:rPr>
                <w:rFonts w:eastAsiaTheme="minorHAnsi"/>
                <w:bCs/>
              </w:rPr>
              <w:t>О</w:t>
            </w:r>
            <w:r w:rsidR="00A91686" w:rsidRPr="00555A58">
              <w:rPr>
                <w:rFonts w:eastAsiaTheme="minorHAnsi"/>
                <w:bCs/>
              </w:rPr>
              <w:t>снование,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55A58">
              <w:rPr>
                <w:rFonts w:eastAsiaTheme="minorHAnsi"/>
                <w:bCs/>
              </w:rPr>
              <w:t>:</w:t>
            </w:r>
            <w:r w:rsidR="00A91686" w:rsidRPr="00555A58">
              <w:rPr>
                <w:rFonts w:eastAsiaTheme="minorHAnsi"/>
                <w:bCs/>
              </w:rPr>
              <w:t xml:space="preserve"> </w:t>
            </w:r>
            <w:r w:rsidR="00A91686" w:rsidRPr="00555A58">
              <w:rPr>
                <w:rFonts w:eastAsiaTheme="minorHAnsi"/>
                <w:bCs/>
                <w:i/>
              </w:rPr>
              <w:t>приобретение доли участия в эмитенте</w:t>
            </w:r>
            <w:r w:rsidRPr="00555A58">
              <w:rPr>
                <w:rFonts w:eastAsiaTheme="minorHAnsi"/>
                <w:bCs/>
                <w:i/>
              </w:rPr>
              <w:t>;</w:t>
            </w:r>
          </w:p>
          <w:p w:rsidR="00514FCB" w:rsidRPr="00555A58" w:rsidRDefault="00514FCB" w:rsidP="00EE3C3D">
            <w:pPr>
              <w:autoSpaceDE w:val="0"/>
              <w:autoSpaceDN w:val="0"/>
              <w:adjustRightInd w:val="0"/>
              <w:jc w:val="both"/>
              <w:rPr>
                <w:rFonts w:eastAsiaTheme="minorHAnsi"/>
                <w:bCs/>
              </w:rPr>
            </w:pPr>
          </w:p>
          <w:p w:rsidR="00A91686" w:rsidRPr="00555A58" w:rsidRDefault="00EE3C3D" w:rsidP="00EE3C3D">
            <w:pPr>
              <w:autoSpaceDE w:val="0"/>
              <w:autoSpaceDN w:val="0"/>
              <w:adjustRightInd w:val="0"/>
              <w:jc w:val="both"/>
              <w:rPr>
                <w:rFonts w:eastAsiaTheme="minorHAnsi"/>
                <w:bCs/>
              </w:rPr>
            </w:pPr>
            <w:r w:rsidRPr="00555A58">
              <w:rPr>
                <w:rFonts w:eastAsiaTheme="minorHAnsi"/>
                <w:bCs/>
              </w:rPr>
              <w:t>К</w:t>
            </w:r>
            <w:r w:rsidR="00A91686" w:rsidRPr="00555A58">
              <w:rPr>
                <w:rFonts w:eastAsiaTheme="minorHAnsi"/>
                <w:bCs/>
              </w:rPr>
              <w:t>оличество и доля голосов в процентах,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w:t>
            </w:r>
            <w:r w:rsidRPr="00555A58">
              <w:rPr>
                <w:rFonts w:eastAsiaTheme="minorHAnsi"/>
                <w:bCs/>
              </w:rPr>
              <w:t xml:space="preserve">: </w:t>
            </w:r>
            <w:r w:rsidR="00EF69F0" w:rsidRPr="00C739B7">
              <w:rPr>
                <w:i/>
              </w:rPr>
              <w:t>18 760 079 (18,9002%)</w:t>
            </w:r>
            <w:r w:rsidR="00A91686" w:rsidRPr="00555A58">
              <w:rPr>
                <w:rFonts w:eastAsiaTheme="minorHAnsi"/>
                <w:bCs/>
              </w:rPr>
              <w:t>;</w:t>
            </w:r>
          </w:p>
          <w:p w:rsidR="00514FCB" w:rsidRPr="00555A58" w:rsidRDefault="00514FCB" w:rsidP="00EE3C3D">
            <w:pPr>
              <w:autoSpaceDE w:val="0"/>
              <w:autoSpaceDN w:val="0"/>
              <w:adjustRightInd w:val="0"/>
              <w:jc w:val="both"/>
              <w:rPr>
                <w:rFonts w:eastAsiaTheme="minorHAnsi"/>
                <w:bCs/>
              </w:rPr>
            </w:pPr>
          </w:p>
          <w:p w:rsidR="00EE3C3D" w:rsidRPr="00555A58" w:rsidRDefault="00EE3C3D" w:rsidP="00EE3C3D">
            <w:pPr>
              <w:autoSpaceDE w:val="0"/>
              <w:autoSpaceDN w:val="0"/>
              <w:adjustRightInd w:val="0"/>
              <w:jc w:val="both"/>
              <w:rPr>
                <w:rFonts w:eastAsiaTheme="minorHAnsi"/>
              </w:rPr>
            </w:pPr>
            <w:r w:rsidRPr="00555A58">
              <w:rPr>
                <w:rFonts w:eastAsiaTheme="minorHAnsi"/>
                <w:bCs/>
              </w:rPr>
              <w:lastRenderedPageBreak/>
              <w:t>К</w:t>
            </w:r>
            <w:r w:rsidR="00A91686" w:rsidRPr="00555A58">
              <w:rPr>
                <w:rFonts w:eastAsiaTheme="minorHAnsi"/>
                <w:bCs/>
              </w:rPr>
              <w:t>оличество и доля голосов в процентах, приходящихся на голосующие акции, составляющие уставный капитал эмитента, право распоряжаться которым лицо получило после наступления соответствующего основания</w:t>
            </w:r>
            <w:r w:rsidRPr="00555A58">
              <w:rPr>
                <w:rFonts w:eastAsiaTheme="minorHAnsi"/>
                <w:bCs/>
              </w:rPr>
              <w:t xml:space="preserve">: </w:t>
            </w:r>
            <w:r w:rsidR="00EF69F0">
              <w:rPr>
                <w:i/>
              </w:rPr>
              <w:t>45 798 358</w:t>
            </w:r>
            <w:r w:rsidR="00EF69F0" w:rsidRPr="00C739B7">
              <w:rPr>
                <w:i/>
              </w:rPr>
              <w:t xml:space="preserve"> (</w:t>
            </w:r>
            <w:r w:rsidR="00EF69F0">
              <w:rPr>
                <w:i/>
              </w:rPr>
              <w:t>46</w:t>
            </w:r>
            <w:r w:rsidR="00EF69F0" w:rsidRPr="00C739B7">
              <w:rPr>
                <w:i/>
              </w:rPr>
              <w:t>,</w:t>
            </w:r>
            <w:r w:rsidR="00EF69F0">
              <w:rPr>
                <w:i/>
              </w:rPr>
              <w:t>1406</w:t>
            </w:r>
            <w:r w:rsidR="00EF69F0" w:rsidRPr="00C739B7">
              <w:rPr>
                <w:i/>
              </w:rPr>
              <w:t>%)</w:t>
            </w:r>
            <w:r w:rsidRPr="00555A58">
              <w:rPr>
                <w:rFonts w:eastAsiaTheme="minorHAnsi"/>
                <w:i/>
              </w:rPr>
              <w:t>;</w:t>
            </w:r>
          </w:p>
          <w:p w:rsidR="00514FCB" w:rsidRPr="00555A58" w:rsidRDefault="00514FCB" w:rsidP="00606181">
            <w:pPr>
              <w:autoSpaceDE w:val="0"/>
              <w:autoSpaceDN w:val="0"/>
              <w:adjustRightInd w:val="0"/>
              <w:jc w:val="both"/>
              <w:rPr>
                <w:rFonts w:eastAsiaTheme="minorHAnsi"/>
                <w:bCs/>
              </w:rPr>
            </w:pPr>
          </w:p>
          <w:p w:rsidR="009407E5" w:rsidRDefault="00EE3C3D" w:rsidP="00EF69F0">
            <w:pPr>
              <w:autoSpaceDE w:val="0"/>
              <w:autoSpaceDN w:val="0"/>
              <w:adjustRightInd w:val="0"/>
              <w:jc w:val="both"/>
              <w:rPr>
                <w:rFonts w:eastAsiaTheme="minorHAnsi"/>
                <w:i/>
              </w:rPr>
            </w:pPr>
            <w:r w:rsidRPr="00555A58">
              <w:rPr>
                <w:rFonts w:eastAsiaTheme="minorHAnsi"/>
                <w:bCs/>
              </w:rPr>
              <w:t>Д</w:t>
            </w:r>
            <w:r w:rsidR="00A91686" w:rsidRPr="00555A58">
              <w:rPr>
                <w:rFonts w:eastAsiaTheme="minorHAnsi"/>
                <w:bCs/>
              </w:rPr>
              <w:t>ата наступления основания,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55A58">
              <w:rPr>
                <w:rFonts w:eastAsiaTheme="minorHAnsi"/>
                <w:bCs/>
              </w:rPr>
              <w:t xml:space="preserve">: </w:t>
            </w:r>
            <w:r w:rsidR="00EF69F0">
              <w:rPr>
                <w:rFonts w:eastAsiaTheme="minorHAnsi"/>
                <w:i/>
              </w:rPr>
              <w:t>«18» октября 2019 года</w:t>
            </w:r>
            <w:r w:rsidR="009A11CF" w:rsidRPr="00555A58">
              <w:rPr>
                <w:rFonts w:eastAsiaTheme="minorHAnsi"/>
                <w:i/>
              </w:rPr>
              <w:t>.</w:t>
            </w:r>
          </w:p>
          <w:p w:rsidR="00EF69F0" w:rsidRDefault="00EF69F0" w:rsidP="00EF69F0">
            <w:pPr>
              <w:autoSpaceDE w:val="0"/>
              <w:autoSpaceDN w:val="0"/>
              <w:adjustRightInd w:val="0"/>
              <w:jc w:val="both"/>
              <w:rPr>
                <w:rFonts w:eastAsiaTheme="minorHAnsi"/>
                <w:i/>
              </w:rPr>
            </w:pPr>
          </w:p>
          <w:p w:rsidR="00EF69F0" w:rsidRDefault="00EF69F0" w:rsidP="00EF69F0">
            <w:pPr>
              <w:autoSpaceDE w:val="0"/>
              <w:autoSpaceDN w:val="0"/>
              <w:adjustRightInd w:val="0"/>
              <w:jc w:val="both"/>
              <w:rPr>
                <w:rFonts w:eastAsiaTheme="minorHAnsi"/>
                <w:i/>
                <w:iCs/>
              </w:rPr>
            </w:pPr>
            <w:r w:rsidRPr="007D685D">
              <w:rPr>
                <w:rFonts w:eastAsiaTheme="minorHAnsi"/>
                <w:iCs/>
              </w:rPr>
              <w:t>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w:t>
            </w:r>
            <w:r>
              <w:rPr>
                <w:rFonts w:eastAsiaTheme="minorHAnsi"/>
                <w:i/>
                <w:iCs/>
              </w:rPr>
              <w:t xml:space="preserve"> 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соответствующего требованиям </w:t>
            </w:r>
            <w:hyperlink r:id="rId7" w:history="1">
              <w:r>
                <w:rPr>
                  <w:rFonts w:eastAsiaTheme="minorHAnsi"/>
                  <w:i/>
                  <w:iCs/>
                  <w:color w:val="0000FF"/>
                </w:rPr>
                <w:t>статьи 84.2</w:t>
              </w:r>
            </w:hyperlink>
            <w:r>
              <w:rPr>
                <w:rFonts w:eastAsiaTheme="minorHAnsi"/>
                <w:i/>
                <w:iCs/>
              </w:rPr>
              <w:t xml:space="preserve"> Федерального закона "Об акционерных обществах";</w:t>
            </w:r>
          </w:p>
          <w:p w:rsidR="00EF69F0" w:rsidRDefault="00EF69F0" w:rsidP="00EF69F0">
            <w:pPr>
              <w:autoSpaceDE w:val="0"/>
              <w:autoSpaceDN w:val="0"/>
              <w:adjustRightInd w:val="0"/>
              <w:jc w:val="both"/>
              <w:rPr>
                <w:rFonts w:eastAsiaTheme="minorHAnsi"/>
                <w:i/>
                <w:iCs/>
              </w:rPr>
            </w:pPr>
          </w:p>
          <w:p w:rsidR="00EF69F0" w:rsidRDefault="00EF69F0" w:rsidP="00EF69F0">
            <w:pPr>
              <w:autoSpaceDE w:val="0"/>
              <w:autoSpaceDN w:val="0"/>
              <w:adjustRightInd w:val="0"/>
              <w:jc w:val="both"/>
              <w:rPr>
                <w:rFonts w:eastAsiaTheme="minorHAnsi"/>
                <w:i/>
              </w:rPr>
            </w:pPr>
            <w:r>
              <w:rPr>
                <w:rFonts w:eastAsiaTheme="minorHAnsi"/>
                <w:iCs/>
              </w:rPr>
              <w:t>К</w:t>
            </w:r>
            <w:r w:rsidRPr="007D685D">
              <w:rPr>
                <w:rFonts w:eastAsiaTheme="minorHAnsi"/>
                <w:iCs/>
              </w:rPr>
              <w:t>раткое описание действия (влияния) указанного фактора (факторов)</w:t>
            </w:r>
            <w:r>
              <w:rPr>
                <w:rFonts w:eastAsiaTheme="minorHAnsi"/>
                <w:iCs/>
              </w:rPr>
              <w:t xml:space="preserve">: </w:t>
            </w:r>
            <w:r w:rsidRPr="007D685D">
              <w:rPr>
                <w:rFonts w:eastAsiaTheme="minorHAnsi"/>
                <w:i/>
              </w:rPr>
              <w:t xml:space="preserve">лицо, которое </w:t>
            </w:r>
            <w:proofErr w:type="gramStart"/>
            <w:r w:rsidRPr="007D685D">
              <w:rPr>
                <w:rFonts w:eastAsiaTheme="minorHAnsi"/>
                <w:i/>
              </w:rPr>
              <w:t xml:space="preserve">приобрело  </w:t>
            </w:r>
            <w:r w:rsidRPr="007D685D">
              <w:rPr>
                <w:rFonts w:eastAsiaTheme="minorHAnsi"/>
                <w:i/>
                <w:iCs/>
              </w:rPr>
              <w:t>более</w:t>
            </w:r>
            <w:proofErr w:type="gramEnd"/>
            <w:r w:rsidRPr="007D685D">
              <w:rPr>
                <w:rFonts w:eastAsiaTheme="minorHAnsi"/>
                <w:i/>
                <w:iCs/>
              </w:rPr>
              <w:t xml:space="preserve"> 30 процентов общего количества акций эмитента,</w:t>
            </w:r>
            <w:r w:rsidRPr="007D685D">
              <w:rPr>
                <w:rFonts w:eastAsiaTheme="minorHAnsi"/>
                <w:i/>
              </w:rPr>
              <w:t xml:space="preserve"> и его аффилированные лица имеют право голоса только по акциям, составляющим 30 процентов таких акций</w:t>
            </w:r>
            <w:r>
              <w:rPr>
                <w:rFonts w:eastAsiaTheme="minorHAnsi"/>
                <w:i/>
              </w:rPr>
              <w:t xml:space="preserve">, </w:t>
            </w:r>
            <w:r w:rsidRPr="007D685D">
              <w:rPr>
                <w:rFonts w:eastAsiaTheme="minorHAnsi"/>
                <w:i/>
                <w:iCs/>
              </w:rPr>
              <w:t>с</w:t>
            </w:r>
            <w:r w:rsidRPr="007D685D">
              <w:rPr>
                <w:rFonts w:eastAsiaTheme="minorHAnsi"/>
                <w:i/>
              </w:rPr>
              <w:t xml:space="preserve"> момента приобретения более 30 процентов общего количества акций </w:t>
            </w:r>
            <w:r>
              <w:rPr>
                <w:rFonts w:eastAsiaTheme="minorHAnsi"/>
                <w:i/>
              </w:rPr>
              <w:t>эмитента</w:t>
            </w:r>
            <w:r w:rsidRPr="007D685D">
              <w:rPr>
                <w:rFonts w:eastAsiaTheme="minorHAnsi"/>
                <w:i/>
              </w:rPr>
              <w:t xml:space="preserve"> и до даты направления в общество обязательного предложения.</w:t>
            </w:r>
          </w:p>
          <w:p w:rsidR="00EF69F0" w:rsidRDefault="00EF69F0" w:rsidP="00EF69F0">
            <w:pPr>
              <w:autoSpaceDE w:val="0"/>
              <w:autoSpaceDN w:val="0"/>
              <w:adjustRightInd w:val="0"/>
              <w:jc w:val="both"/>
              <w:rPr>
                <w:rFonts w:eastAsiaTheme="minorHAnsi"/>
                <w:i/>
              </w:rPr>
            </w:pPr>
          </w:p>
          <w:p w:rsidR="00EF69F0" w:rsidRDefault="00EF69F0" w:rsidP="00EF69F0">
            <w:pPr>
              <w:autoSpaceDE w:val="0"/>
              <w:autoSpaceDN w:val="0"/>
              <w:adjustRightInd w:val="0"/>
              <w:jc w:val="both"/>
              <w:rPr>
                <w:rFonts w:eastAsiaTheme="minorHAnsi"/>
                <w:i/>
                <w:iCs/>
              </w:rPr>
            </w:pPr>
            <w:r w:rsidRPr="00F84C95">
              <w:rPr>
                <w:rFonts w:eastAsiaTheme="minorHAnsi"/>
                <w:iCs/>
              </w:rP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r>
              <w:rPr>
                <w:rFonts w:eastAsiaTheme="minorHAnsi"/>
                <w:i/>
                <w:iCs/>
              </w:rPr>
              <w:t>: 83 237 503;</w:t>
            </w:r>
          </w:p>
          <w:p w:rsidR="00EF69F0" w:rsidRDefault="00EF69F0" w:rsidP="00EF69F0">
            <w:pPr>
              <w:autoSpaceDE w:val="0"/>
              <w:autoSpaceDN w:val="0"/>
              <w:adjustRightInd w:val="0"/>
              <w:spacing w:before="200"/>
              <w:jc w:val="both"/>
              <w:rPr>
                <w:rFonts w:eastAsiaTheme="minorHAnsi"/>
                <w:i/>
                <w:iCs/>
              </w:rPr>
            </w:pPr>
            <w:r w:rsidRPr="00F84C95">
              <w:rPr>
                <w:rFonts w:eastAsiaTheme="minorHAnsi"/>
                <w:iCs/>
              </w:rPr>
              <w:t>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с учетом и без учета действия (влияния) указанного фактора (факторов)</w:t>
            </w:r>
            <w:r>
              <w:rPr>
                <w:rFonts w:eastAsiaTheme="minorHAnsi"/>
                <w:i/>
                <w:iCs/>
              </w:rPr>
              <w:t>: с учетом влияния фактора - 18,9002%, без учета влияния фактора -  18,9002%;</w:t>
            </w:r>
          </w:p>
          <w:p w:rsidR="00EF69F0" w:rsidRDefault="00EF69F0" w:rsidP="00EF69F0">
            <w:pPr>
              <w:autoSpaceDE w:val="0"/>
              <w:autoSpaceDN w:val="0"/>
              <w:adjustRightInd w:val="0"/>
              <w:jc w:val="both"/>
              <w:rPr>
                <w:rFonts w:eastAsiaTheme="minorHAnsi"/>
                <w:iCs/>
              </w:rPr>
            </w:pPr>
          </w:p>
          <w:p w:rsidR="00EF69F0" w:rsidRPr="00555A58" w:rsidRDefault="00EF69F0" w:rsidP="00EF69F0">
            <w:pPr>
              <w:autoSpaceDE w:val="0"/>
              <w:autoSpaceDN w:val="0"/>
              <w:adjustRightInd w:val="0"/>
              <w:jc w:val="both"/>
              <w:rPr>
                <w:rFonts w:eastAsiaTheme="minorHAnsi"/>
                <w:i/>
              </w:rPr>
            </w:pPr>
            <w:r w:rsidRPr="00F84C95">
              <w:rPr>
                <w:rFonts w:eastAsiaTheme="minorHAnsi"/>
                <w:iCs/>
              </w:rPr>
              <w:t>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 с учетом и без учета действия (влияния) указанного фактора (факторов</w:t>
            </w:r>
            <w:r>
              <w:rPr>
                <w:rFonts w:eastAsiaTheme="minorHAnsi"/>
                <w:i/>
                <w:iCs/>
              </w:rPr>
              <w:t>): с учетом влияния фактора - 30%, без учета влияния фактора -  46,1406%.</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center"/>
              <w:rPr>
                <w:sz w:val="20"/>
                <w:szCs w:val="20"/>
              </w:rPr>
            </w:pPr>
            <w:r w:rsidRPr="00555A58">
              <w:rPr>
                <w:sz w:val="20"/>
                <w:szCs w:val="20"/>
              </w:rPr>
              <w:lastRenderedPageBreak/>
              <w:t>3. Подпись</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 xml:space="preserve">3.1. </w:t>
            </w:r>
            <w:proofErr w:type="spellStart"/>
            <w:r w:rsidR="00126055">
              <w:rPr>
                <w:sz w:val="20"/>
                <w:szCs w:val="20"/>
              </w:rPr>
              <w:t>И.о</w:t>
            </w:r>
            <w:proofErr w:type="spellEnd"/>
            <w:r w:rsidR="00126055">
              <w:rPr>
                <w:sz w:val="20"/>
                <w:szCs w:val="20"/>
              </w:rPr>
              <w:t xml:space="preserve">. </w:t>
            </w:r>
            <w:r w:rsidRPr="00555A58">
              <w:rPr>
                <w:sz w:val="20"/>
                <w:szCs w:val="20"/>
              </w:rPr>
              <w:t>Генеральн</w:t>
            </w:r>
            <w:r w:rsidR="00126055">
              <w:rPr>
                <w:sz w:val="20"/>
                <w:szCs w:val="20"/>
              </w:rPr>
              <w:t>ого</w:t>
            </w:r>
            <w:r w:rsidRPr="00555A58">
              <w:rPr>
                <w:sz w:val="20"/>
                <w:szCs w:val="20"/>
              </w:rPr>
              <w:t xml:space="preserve"> директор</w:t>
            </w:r>
            <w:r w:rsidR="00126055">
              <w:rPr>
                <w:sz w:val="20"/>
                <w:szCs w:val="20"/>
              </w:rPr>
              <w:t>а</w:t>
            </w:r>
            <w:r w:rsidRPr="00555A58">
              <w:rPr>
                <w:sz w:val="20"/>
                <w:szCs w:val="20"/>
              </w:rPr>
              <w:t xml:space="preserve">                              ______________             </w:t>
            </w:r>
            <w:r w:rsidR="00126055">
              <w:rPr>
                <w:sz w:val="20"/>
                <w:szCs w:val="20"/>
              </w:rPr>
              <w:t>А.А. Поклонов</w:t>
            </w:r>
            <w:bookmarkStart w:id="1" w:name="_GoBack"/>
            <w:bookmarkEnd w:id="1"/>
          </w:p>
          <w:p w:rsidR="009407E5" w:rsidRPr="00555A58" w:rsidRDefault="009407E5" w:rsidP="007C5E93">
            <w:pPr>
              <w:pStyle w:val="prilozhenie"/>
              <w:ind w:firstLine="0"/>
              <w:rPr>
                <w:sz w:val="20"/>
                <w:szCs w:val="20"/>
              </w:rPr>
            </w:pPr>
            <w:r w:rsidRPr="00555A58">
              <w:rPr>
                <w:sz w:val="20"/>
                <w:szCs w:val="20"/>
              </w:rPr>
              <w:t xml:space="preserve">                                                                             (подпись)</w:t>
            </w:r>
          </w:p>
          <w:p w:rsidR="009407E5" w:rsidRPr="00555A58" w:rsidRDefault="009407E5" w:rsidP="007C5E93">
            <w:pPr>
              <w:pStyle w:val="prilozhenie"/>
              <w:ind w:firstLine="0"/>
              <w:rPr>
                <w:sz w:val="20"/>
                <w:szCs w:val="20"/>
              </w:rPr>
            </w:pPr>
          </w:p>
          <w:p w:rsidR="009407E5" w:rsidRPr="00555A58" w:rsidRDefault="00C8573D" w:rsidP="007C5E93">
            <w:pPr>
              <w:pStyle w:val="prilozhenie"/>
              <w:ind w:firstLine="0"/>
              <w:rPr>
                <w:sz w:val="20"/>
                <w:szCs w:val="20"/>
              </w:rPr>
            </w:pPr>
            <w:r w:rsidRPr="00555A58">
              <w:rPr>
                <w:sz w:val="20"/>
                <w:szCs w:val="20"/>
              </w:rPr>
              <w:t>3.2. Дата «</w:t>
            </w:r>
            <w:r w:rsidR="00126055">
              <w:rPr>
                <w:sz w:val="20"/>
                <w:szCs w:val="20"/>
              </w:rPr>
              <w:t>30</w:t>
            </w:r>
            <w:r w:rsidR="009407E5" w:rsidRPr="00555A58">
              <w:rPr>
                <w:sz w:val="20"/>
                <w:szCs w:val="20"/>
              </w:rPr>
              <w:t xml:space="preserve">» </w:t>
            </w:r>
            <w:r w:rsidR="00EF69F0">
              <w:rPr>
                <w:sz w:val="20"/>
                <w:szCs w:val="20"/>
              </w:rPr>
              <w:t>октябр</w:t>
            </w:r>
            <w:r w:rsidR="009407E5" w:rsidRPr="00555A58">
              <w:rPr>
                <w:sz w:val="20"/>
                <w:szCs w:val="20"/>
              </w:rPr>
              <w:t>я 2019 г.                    М.П.</w:t>
            </w:r>
          </w:p>
          <w:p w:rsidR="009407E5" w:rsidRPr="00555A58" w:rsidRDefault="009407E5" w:rsidP="007C5E93">
            <w:pPr>
              <w:pStyle w:val="prilozhenie"/>
              <w:ind w:firstLine="0"/>
              <w:jc w:val="center"/>
              <w:rPr>
                <w:sz w:val="20"/>
                <w:szCs w:val="20"/>
              </w:rPr>
            </w:pPr>
          </w:p>
        </w:tc>
      </w:tr>
    </w:tbl>
    <w:p w:rsidR="008948BB" w:rsidRPr="00555A58" w:rsidRDefault="008948BB"/>
    <w:sectPr w:rsidR="008948BB" w:rsidRPr="00555A58" w:rsidSect="00B95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84669"/>
    <w:multiLevelType w:val="hybridMultilevel"/>
    <w:tmpl w:val="72EA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E5"/>
    <w:rsid w:val="00004949"/>
    <w:rsid w:val="00126055"/>
    <w:rsid w:val="003745DD"/>
    <w:rsid w:val="003A08A2"/>
    <w:rsid w:val="003C37B0"/>
    <w:rsid w:val="004C5B87"/>
    <w:rsid w:val="00514FCB"/>
    <w:rsid w:val="00555A58"/>
    <w:rsid w:val="00587FFB"/>
    <w:rsid w:val="00606181"/>
    <w:rsid w:val="007C354A"/>
    <w:rsid w:val="007F1D76"/>
    <w:rsid w:val="00827872"/>
    <w:rsid w:val="008948BB"/>
    <w:rsid w:val="009407E5"/>
    <w:rsid w:val="009465D3"/>
    <w:rsid w:val="009A11CF"/>
    <w:rsid w:val="009F5CE0"/>
    <w:rsid w:val="00A91686"/>
    <w:rsid w:val="00C8573D"/>
    <w:rsid w:val="00E80A48"/>
    <w:rsid w:val="00EE3C3D"/>
    <w:rsid w:val="00E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EDC7"/>
  <w15:chartTrackingRefBased/>
  <w15:docId w15:val="{E9445E80-E6F5-40BD-9702-115E7B8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E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407E5"/>
    <w:pPr>
      <w:ind w:firstLine="709"/>
      <w:jc w:val="both"/>
    </w:pPr>
    <w:rPr>
      <w:sz w:val="24"/>
      <w:szCs w:val="24"/>
    </w:rPr>
  </w:style>
  <w:style w:type="paragraph" w:customStyle="1" w:styleId="prilozhenieglava">
    <w:name w:val="prilozhenie glava"/>
    <w:basedOn w:val="a"/>
    <w:rsid w:val="009407E5"/>
    <w:pPr>
      <w:spacing w:before="240" w:after="240"/>
      <w:jc w:val="center"/>
    </w:pPr>
    <w:rPr>
      <w:b/>
      <w:bCs/>
      <w:caps/>
      <w:sz w:val="24"/>
      <w:szCs w:val="24"/>
    </w:rPr>
  </w:style>
  <w:style w:type="paragraph" w:customStyle="1" w:styleId="1Head11">
    <w:name w:val="Заголовок 1.Head 11"/>
    <w:basedOn w:val="a"/>
    <w:next w:val="a"/>
    <w:rsid w:val="009407E5"/>
    <w:pPr>
      <w:keepNext/>
      <w:autoSpaceDE w:val="0"/>
      <w:autoSpaceDN w:val="0"/>
      <w:outlineLvl w:val="0"/>
    </w:pPr>
    <w:rPr>
      <w:i/>
      <w:iCs/>
      <w:sz w:val="24"/>
      <w:szCs w:val="24"/>
      <w:lang w:eastAsia="ru-RU"/>
    </w:rPr>
  </w:style>
  <w:style w:type="character" w:styleId="a3">
    <w:name w:val="Hyperlink"/>
    <w:basedOn w:val="a0"/>
    <w:rsid w:val="009407E5"/>
    <w:rPr>
      <w:color w:val="0000FF"/>
      <w:u w:val="single"/>
    </w:rPr>
  </w:style>
  <w:style w:type="character" w:customStyle="1" w:styleId="Subst">
    <w:name w:val="Subst"/>
    <w:uiPriority w:val="99"/>
    <w:rsid w:val="009407E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27BC506C5ACC91527E52D54499B1D172AE99DCD0FA6FD9F533202D9FD4CC880CD3153041FA0226B70A86BFC66489C23C10C26Cn8Q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tk.company" TargetMode="External"/><Relationship Id="rId5" Type="http://schemas.openxmlformats.org/officeDocument/2006/relationships/hyperlink" Target="http://www.e-disclosure.ru/portal/company.aspx?id=59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Рябова Людмила Борисовна</cp:lastModifiedBy>
  <cp:revision>16</cp:revision>
  <dcterms:created xsi:type="dcterms:W3CDTF">2019-04-29T01:45:00Z</dcterms:created>
  <dcterms:modified xsi:type="dcterms:W3CDTF">2019-10-29T07:03:00Z</dcterms:modified>
</cp:coreProperties>
</file>