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9" w:rsidRPr="00475752" w:rsidRDefault="00907289" w:rsidP="00907289">
      <w:pPr>
        <w:pStyle w:val="prilozhenieglava"/>
        <w:spacing w:before="0" w:after="0"/>
        <w:rPr>
          <w:rFonts w:eastAsia="Calibri"/>
          <w:sz w:val="22"/>
          <w:szCs w:val="22"/>
          <w:lang w:val="en-US"/>
        </w:rPr>
      </w:pPr>
      <w:r w:rsidRPr="00F65D12">
        <w:rPr>
          <w:color w:val="000000"/>
          <w:sz w:val="22"/>
          <w:szCs w:val="22"/>
          <w:lang w:val="en-US" w:eastAsia="ru-RU"/>
        </w:rPr>
        <w:t xml:space="preserve">Corporate action notice </w:t>
      </w:r>
      <w:r w:rsidRPr="00F65D12">
        <w:rPr>
          <w:color w:val="000000"/>
          <w:sz w:val="22"/>
          <w:szCs w:val="22"/>
          <w:lang w:val="en-US" w:eastAsia="ru-RU"/>
        </w:rPr>
        <w:br/>
      </w:r>
      <w:r w:rsidRPr="00F65D12">
        <w:rPr>
          <w:rFonts w:eastAsia="Calibri"/>
          <w:sz w:val="22"/>
          <w:szCs w:val="22"/>
          <w:lang w:val="en-US"/>
        </w:rPr>
        <w:t xml:space="preserve">settlement of </w:t>
      </w:r>
      <w:r w:rsidR="00475752">
        <w:rPr>
          <w:rFonts w:eastAsia="Calibri"/>
          <w:sz w:val="22"/>
          <w:szCs w:val="22"/>
          <w:lang w:val="en-US"/>
        </w:rPr>
        <w:t>a material</w:t>
      </w:r>
      <w:r w:rsidRPr="00F65D12">
        <w:rPr>
          <w:rFonts w:eastAsia="Calibri"/>
          <w:sz w:val="22"/>
          <w:szCs w:val="22"/>
          <w:lang w:val="en-US"/>
        </w:rPr>
        <w:t xml:space="preserve"> transaction by the issuer</w:t>
      </w:r>
    </w:p>
    <w:p w:rsidR="0022453F" w:rsidRPr="00475752" w:rsidRDefault="0022453F" w:rsidP="00907289">
      <w:pPr>
        <w:pStyle w:val="prilozhenieglava"/>
        <w:spacing w:before="0" w:after="0"/>
        <w:rPr>
          <w:rFonts w:eastAsia="Calibri"/>
          <w:caps w:val="0"/>
          <w:sz w:val="22"/>
          <w:szCs w:val="22"/>
          <w:lang w:val="en-US"/>
        </w:rPr>
      </w:pPr>
    </w:p>
    <w:tbl>
      <w:tblPr>
        <w:tblW w:w="0" w:type="auto"/>
        <w:tblLook w:val="00BF"/>
      </w:tblPr>
      <w:tblGrid>
        <w:gridCol w:w="4644"/>
        <w:gridCol w:w="4927"/>
      </w:tblGrid>
      <w:tr w:rsidR="00907289" w:rsidRPr="003477F7" w:rsidTr="00F65D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F6028">
              <w:rPr>
                <w:sz w:val="22"/>
                <w:szCs w:val="22"/>
              </w:rPr>
              <w:t xml:space="preserve">1. </w:t>
            </w:r>
            <w:r w:rsidRPr="008F6028">
              <w:rPr>
                <w:sz w:val="22"/>
                <w:szCs w:val="22"/>
                <w:lang w:val="en-US"/>
              </w:rPr>
              <w:t>General information</w:t>
            </w:r>
          </w:p>
        </w:tc>
      </w:tr>
      <w:tr w:rsidR="001A2FF7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7" w:rsidRPr="008F6028" w:rsidRDefault="001A2FF7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>1.1. Full business name of the issuer (name for nonprofit organizations)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7" w:rsidRPr="008F6028" w:rsidRDefault="001A2FF7" w:rsidP="00F93B4C">
            <w:pPr>
              <w:rPr>
                <w:i/>
                <w:iCs/>
                <w:sz w:val="22"/>
                <w:szCs w:val="22"/>
                <w:lang w:val="en-US"/>
              </w:rPr>
            </w:pPr>
            <w:r w:rsidRPr="008F6028">
              <w:rPr>
                <w:i/>
                <w:iCs/>
                <w:sz w:val="22"/>
                <w:szCs w:val="22"/>
                <w:lang w:val="en-US"/>
              </w:rPr>
              <w:t xml:space="preserve">Public Joint Stock Company </w:t>
            </w:r>
            <w:proofErr w:type="spellStart"/>
            <w:r w:rsidRPr="008F6028">
              <w:rPr>
                <w:i/>
                <w:iCs/>
                <w:sz w:val="22"/>
                <w:szCs w:val="22"/>
                <w:lang w:val="en-US"/>
              </w:rPr>
              <w:t>Kuzbasskaya</w:t>
            </w:r>
            <w:proofErr w:type="spellEnd"/>
            <w:r w:rsidRPr="008F602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6028">
              <w:rPr>
                <w:i/>
                <w:iCs/>
                <w:sz w:val="22"/>
                <w:szCs w:val="22"/>
                <w:lang w:val="en-US"/>
              </w:rPr>
              <w:t>Toplivnaya</w:t>
            </w:r>
            <w:proofErr w:type="spellEnd"/>
            <w:r w:rsidRPr="008F6028">
              <w:rPr>
                <w:i/>
                <w:iCs/>
                <w:sz w:val="22"/>
                <w:szCs w:val="22"/>
                <w:lang w:val="en-US"/>
              </w:rPr>
              <w:t xml:space="preserve"> Company</w:t>
            </w:r>
          </w:p>
        </w:tc>
      </w:tr>
      <w:tr w:rsidR="001A2FF7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7" w:rsidRPr="008F6028" w:rsidRDefault="001A2FF7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>1.2. Short business name of the issuer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7" w:rsidRPr="008F6028" w:rsidRDefault="008F6028" w:rsidP="008F6028">
            <w:pPr>
              <w:pStyle w:val="1Head1"/>
              <w:rPr>
                <w:sz w:val="22"/>
                <w:szCs w:val="22"/>
              </w:rPr>
            </w:pPr>
            <w:r w:rsidRPr="008F6028">
              <w:rPr>
                <w:sz w:val="22"/>
                <w:szCs w:val="22"/>
                <w:lang w:val="en-US"/>
              </w:rPr>
              <w:t>PJSC</w:t>
            </w:r>
            <w:r w:rsidR="001A2FF7" w:rsidRPr="008F6028">
              <w:rPr>
                <w:sz w:val="22"/>
                <w:szCs w:val="22"/>
              </w:rPr>
              <w:t xml:space="preserve"> </w:t>
            </w:r>
            <w:r w:rsidR="001A2FF7" w:rsidRPr="008F6028">
              <w:rPr>
                <w:iCs w:val="0"/>
                <w:sz w:val="22"/>
                <w:szCs w:val="22"/>
                <w:lang w:val="en-US"/>
              </w:rPr>
              <w:t>KTK</w:t>
            </w:r>
          </w:p>
        </w:tc>
      </w:tr>
      <w:tr w:rsidR="00907289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</w:rPr>
              <w:t>1.3. </w:t>
            </w:r>
            <w:r w:rsidRPr="008F6028">
              <w:rPr>
                <w:sz w:val="22"/>
                <w:szCs w:val="22"/>
                <w:lang w:val="en-US"/>
              </w:rPr>
              <w:t>Issuer’s registered address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E66220">
            <w:pPr>
              <w:rPr>
                <w:i/>
                <w:iCs/>
                <w:sz w:val="22"/>
                <w:szCs w:val="22"/>
                <w:lang w:val="en-US"/>
              </w:rPr>
            </w:pPr>
            <w:r w:rsidRPr="008F6028">
              <w:rPr>
                <w:i/>
                <w:iCs/>
                <w:sz w:val="22"/>
                <w:szCs w:val="22"/>
                <w:lang w:val="en-US"/>
              </w:rPr>
              <w:t xml:space="preserve">650000, Kemerovo region, the city of Kemerovo, </w:t>
            </w:r>
            <w:proofErr w:type="spellStart"/>
            <w:r w:rsidRPr="008F6028">
              <w:rPr>
                <w:i/>
                <w:iCs/>
                <w:sz w:val="22"/>
                <w:szCs w:val="22"/>
                <w:lang w:val="en-US"/>
              </w:rPr>
              <w:t>ul</w:t>
            </w:r>
            <w:proofErr w:type="spellEnd"/>
            <w:r w:rsidRPr="008F6028">
              <w:rPr>
                <w:i/>
                <w:iCs/>
                <w:sz w:val="22"/>
                <w:szCs w:val="22"/>
                <w:lang w:val="en-US"/>
              </w:rPr>
              <w:t xml:space="preserve">. 50 Let </w:t>
            </w:r>
            <w:proofErr w:type="spellStart"/>
            <w:r w:rsidRPr="008F6028">
              <w:rPr>
                <w:i/>
                <w:iCs/>
                <w:sz w:val="22"/>
                <w:szCs w:val="22"/>
                <w:lang w:val="en-US"/>
              </w:rPr>
              <w:t>Oktyabrya</w:t>
            </w:r>
            <w:proofErr w:type="spellEnd"/>
            <w:r w:rsidRPr="008F6028">
              <w:rPr>
                <w:i/>
                <w:iCs/>
                <w:sz w:val="22"/>
                <w:szCs w:val="22"/>
                <w:lang w:val="en-US"/>
              </w:rPr>
              <w:t>, 4</w:t>
            </w:r>
          </w:p>
        </w:tc>
      </w:tr>
      <w:tr w:rsidR="00907289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>1.4. Principal State Registration Number of the issuer (OGRN)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E66220">
            <w:pPr>
              <w:rPr>
                <w:i/>
                <w:iCs/>
                <w:sz w:val="22"/>
                <w:szCs w:val="22"/>
              </w:rPr>
            </w:pPr>
            <w:r w:rsidRPr="008F6028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907289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>1.5. Taxpayer’s Identification Number of the issuer (INN)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E66220">
            <w:pPr>
              <w:rPr>
                <w:i/>
                <w:iCs/>
                <w:sz w:val="22"/>
                <w:szCs w:val="22"/>
              </w:rPr>
            </w:pPr>
            <w:r w:rsidRPr="008F6028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907289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 xml:space="preserve">1.6. Issuer’s unique code assigned by the registering authority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E66220">
            <w:pPr>
              <w:rPr>
                <w:i/>
                <w:iCs/>
                <w:sz w:val="22"/>
                <w:szCs w:val="22"/>
              </w:rPr>
            </w:pPr>
            <w:r w:rsidRPr="008F6028">
              <w:rPr>
                <w:i/>
                <w:iCs/>
                <w:sz w:val="22"/>
                <w:szCs w:val="22"/>
              </w:rPr>
              <w:t>11330-</w:t>
            </w:r>
            <w:r w:rsidRPr="008F6028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907289" w:rsidRPr="003477F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8F6028" w:rsidRDefault="00907289" w:rsidP="00A13B56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8F6028">
              <w:rPr>
                <w:sz w:val="22"/>
                <w:szCs w:val="22"/>
                <w:lang w:val="en-US"/>
              </w:rPr>
              <w:t>1.7. Internet page address used by the issuer for disclosure of information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8" w:rsidRPr="005C6CAB" w:rsidRDefault="008F6028" w:rsidP="008F6028">
            <w:pPr>
              <w:adjustRightInd w:val="0"/>
              <w:jc w:val="both"/>
              <w:rPr>
                <w:i/>
                <w:iCs/>
                <w:lang w:val="en-US"/>
              </w:rPr>
            </w:pPr>
            <w:hyperlink r:id="rId4" w:history="1">
              <w:r w:rsidRPr="005C6CAB">
                <w:rPr>
                  <w:rStyle w:val="a5"/>
                  <w:i/>
                  <w:lang w:val="en-US"/>
                </w:rPr>
                <w:t>http://www.e-disclosure.ru/portal/company.aspx?id=5964</w:t>
              </w:r>
            </w:hyperlink>
            <w:r w:rsidRPr="005C6CAB">
              <w:rPr>
                <w:i/>
                <w:lang w:val="en-US"/>
              </w:rPr>
              <w:t xml:space="preserve"> </w:t>
            </w:r>
          </w:p>
          <w:p w:rsidR="00907289" w:rsidRPr="008F6028" w:rsidRDefault="008F6028" w:rsidP="008F6028">
            <w:pPr>
              <w:rPr>
                <w:i/>
                <w:iCs/>
                <w:sz w:val="22"/>
                <w:szCs w:val="22"/>
                <w:lang w:val="en-US"/>
              </w:rPr>
            </w:pPr>
            <w:hyperlink r:id="rId5" w:history="1">
              <w:r w:rsidRPr="005C6CAB">
                <w:rPr>
                  <w:rStyle w:val="a5"/>
                  <w:bCs/>
                  <w:i/>
                </w:rPr>
                <w:t>http://ktk.company</w:t>
              </w:r>
            </w:hyperlink>
          </w:p>
        </w:tc>
      </w:tr>
      <w:tr w:rsidR="00F65D12" w:rsidRPr="004367E7" w:rsidTr="00F65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87781F">
            <w:pPr>
              <w:ind w:left="85" w:right="85"/>
              <w:jc w:val="both"/>
              <w:rPr>
                <w:sz w:val="22"/>
                <w:szCs w:val="22"/>
                <w:lang w:val="en-US"/>
              </w:rPr>
            </w:pPr>
            <w:r w:rsidRPr="00F65D12">
              <w:rPr>
                <w:sz w:val="22"/>
                <w:szCs w:val="22"/>
                <w:lang w:val="en-US"/>
              </w:rPr>
              <w:t xml:space="preserve">1.8. Date of occurrence of the event (corporate action), in which respect this notice was made (if applicable)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2" w:rsidRPr="00F65D12" w:rsidRDefault="00F65D12" w:rsidP="00F65D12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F65D12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4</w:t>
            </w:r>
            <w:r w:rsidRPr="00F65D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5D12">
              <w:rPr>
                <w:i/>
                <w:sz w:val="22"/>
                <w:szCs w:val="22"/>
              </w:rPr>
              <w:t>March</w:t>
            </w:r>
            <w:proofErr w:type="spellEnd"/>
            <w:r w:rsidRPr="00F65D12">
              <w:rPr>
                <w:i/>
                <w:sz w:val="22"/>
                <w:szCs w:val="22"/>
              </w:rPr>
              <w:t xml:space="preserve"> 2019</w:t>
            </w:r>
          </w:p>
        </w:tc>
      </w:tr>
    </w:tbl>
    <w:p w:rsidR="00F65D12" w:rsidRPr="003477F7" w:rsidRDefault="00F65D12" w:rsidP="00907289">
      <w:pPr>
        <w:pStyle w:val="prilozhenie"/>
        <w:rPr>
          <w:sz w:val="22"/>
          <w:szCs w:val="22"/>
          <w:lang w:val="en-US"/>
        </w:rPr>
      </w:pPr>
    </w:p>
    <w:tbl>
      <w:tblPr>
        <w:tblW w:w="0" w:type="auto"/>
        <w:tblLook w:val="00BF"/>
      </w:tblPr>
      <w:tblGrid>
        <w:gridCol w:w="9571"/>
      </w:tblGrid>
      <w:tr w:rsidR="00907289" w:rsidRPr="003477F7" w:rsidTr="00A13B5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3477F7" w:rsidRDefault="00907289" w:rsidP="00A13B5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477F7">
              <w:rPr>
                <w:sz w:val="22"/>
                <w:szCs w:val="22"/>
              </w:rPr>
              <w:t xml:space="preserve">2. </w:t>
            </w:r>
            <w:r w:rsidRPr="003477F7">
              <w:rPr>
                <w:sz w:val="22"/>
                <w:szCs w:val="22"/>
                <w:lang w:val="en-US"/>
              </w:rPr>
              <w:t>Content of the notice</w:t>
            </w:r>
          </w:p>
        </w:tc>
      </w:tr>
      <w:tr w:rsidR="00907289" w:rsidRPr="00C71979" w:rsidTr="00A13B56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C71979" w:rsidRDefault="00907289" w:rsidP="00A13B56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 w:val="22"/>
                <w:szCs w:val="22"/>
                <w:lang w:val="en-US"/>
              </w:rPr>
            </w:pPr>
            <w:r w:rsidRPr="00C71979">
              <w:rPr>
                <w:rFonts w:eastAsia="Calibri"/>
                <w:sz w:val="22"/>
                <w:szCs w:val="22"/>
                <w:lang w:val="en-US"/>
              </w:rPr>
              <w:t xml:space="preserve">Type of the </w:t>
            </w:r>
            <w:r w:rsidR="009012C1" w:rsidRPr="00C71979">
              <w:rPr>
                <w:rFonts w:eastAsia="Calibri"/>
                <w:sz w:val="22"/>
                <w:szCs w:val="22"/>
                <w:lang w:val="en-US"/>
              </w:rPr>
              <w:t>company that</w:t>
            </w:r>
            <w:r w:rsidR="003179A9" w:rsidRPr="00C71979">
              <w:rPr>
                <w:rFonts w:eastAsia="Calibri"/>
                <w:sz w:val="22"/>
                <w:szCs w:val="22"/>
                <w:lang w:val="en-US"/>
              </w:rPr>
              <w:t xml:space="preserve"> settled a </w:t>
            </w:r>
            <w:r w:rsidR="00475752">
              <w:rPr>
                <w:rFonts w:eastAsia="Calibri"/>
                <w:sz w:val="22"/>
                <w:szCs w:val="22"/>
                <w:lang w:val="en-US"/>
              </w:rPr>
              <w:t>material</w:t>
            </w:r>
            <w:r w:rsidR="003179A9" w:rsidRPr="00C71979">
              <w:rPr>
                <w:rFonts w:eastAsia="Calibri"/>
                <w:sz w:val="22"/>
                <w:szCs w:val="22"/>
                <w:lang w:val="en-US"/>
              </w:rPr>
              <w:t xml:space="preserve"> transaction</w:t>
            </w:r>
            <w:r w:rsidRPr="00C71979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Pr="00C71979">
              <w:rPr>
                <w:rFonts w:eastAsia="Calibri"/>
                <w:i/>
                <w:sz w:val="22"/>
                <w:szCs w:val="22"/>
                <w:lang w:val="en-US"/>
              </w:rPr>
              <w:t>the issuer</w:t>
            </w:r>
            <w:r w:rsidRPr="00C71979">
              <w:rPr>
                <w:i/>
                <w:sz w:val="22"/>
                <w:szCs w:val="22"/>
                <w:lang w:val="en-US"/>
              </w:rPr>
              <w:t>.</w:t>
            </w:r>
            <w:r w:rsidRPr="00C7197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907289" w:rsidRPr="00C71979" w:rsidRDefault="00907289" w:rsidP="00A13B56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Category of the transaction: </w:t>
            </w:r>
            <w:r w:rsidR="00F65D12">
              <w:rPr>
                <w:i/>
                <w:sz w:val="22"/>
                <w:szCs w:val="22"/>
                <w:lang w:val="en-US" w:eastAsia="ru-RU"/>
              </w:rPr>
              <w:t>material</w:t>
            </w:r>
            <w:r w:rsidRPr="00C71979">
              <w:rPr>
                <w:i/>
                <w:sz w:val="22"/>
                <w:szCs w:val="22"/>
                <w:lang w:val="en-US" w:eastAsia="ru-RU"/>
              </w:rPr>
              <w:t xml:space="preserve"> transaction</w:t>
            </w:r>
            <w:r w:rsidR="000C2B03" w:rsidRPr="003477F7">
              <w:rPr>
                <w:i/>
                <w:sz w:val="22"/>
                <w:szCs w:val="22"/>
                <w:lang w:val="en-US" w:eastAsia="ru-RU"/>
              </w:rPr>
              <w:t xml:space="preserve"> not being </w:t>
            </w:r>
            <w:r w:rsidR="00F65D12">
              <w:rPr>
                <w:i/>
                <w:sz w:val="22"/>
                <w:szCs w:val="22"/>
                <w:lang w:val="en-US" w:eastAsia="ru-RU"/>
              </w:rPr>
              <w:t>a major transaction</w:t>
            </w:r>
            <w:r w:rsidR="003E4BF3" w:rsidRPr="00C71979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907289" w:rsidRPr="00C71979" w:rsidRDefault="00907289" w:rsidP="00A13B56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Type and subject of the transaction: </w:t>
            </w:r>
            <w:r w:rsidR="00F65D12">
              <w:rPr>
                <w:i/>
                <w:sz w:val="22"/>
                <w:szCs w:val="22"/>
                <w:lang w:val="en-US" w:eastAsia="ru-RU"/>
              </w:rPr>
              <w:t>entering into three Agreements for Loan General Terms</w:t>
            </w:r>
            <w:r w:rsidRPr="00C71979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603613" w:rsidRPr="00C71979" w:rsidRDefault="001A2FF7" w:rsidP="00603613">
            <w:pPr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>Content of the transaction, including civil rights and obligations, which are established, modified or terminated by the transaction</w:t>
            </w:r>
            <w:r w:rsidR="00907289" w:rsidRPr="00C71979">
              <w:rPr>
                <w:sz w:val="22"/>
                <w:szCs w:val="22"/>
                <w:lang w:val="en-US" w:eastAsia="ru-RU"/>
              </w:rPr>
              <w:t xml:space="preserve">: </w:t>
            </w:r>
            <w:r w:rsidR="00530A34">
              <w:rPr>
                <w:i/>
                <w:sz w:val="22"/>
                <w:szCs w:val="22"/>
                <w:lang w:val="en-US" w:eastAsia="ru-RU"/>
              </w:rPr>
              <w:t xml:space="preserve">granting of </w:t>
            </w:r>
            <w:r w:rsidR="00475752">
              <w:rPr>
                <w:i/>
                <w:sz w:val="22"/>
                <w:szCs w:val="22"/>
                <w:lang w:val="en-US" w:eastAsia="ru-RU"/>
              </w:rPr>
              <w:t>loans to the issuer</w:t>
            </w:r>
            <w:r w:rsidR="00530A34">
              <w:rPr>
                <w:i/>
                <w:sz w:val="22"/>
                <w:szCs w:val="22"/>
                <w:lang w:val="en-US" w:eastAsia="ru-RU"/>
              </w:rPr>
              <w:t xml:space="preserve"> for 36 months </w:t>
            </w:r>
            <w:r w:rsidR="002D7C4D" w:rsidRPr="00C71979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907289" w:rsidRPr="00C71979" w:rsidRDefault="00F11916" w:rsidP="00A13B56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>Maturity date</w:t>
            </w:r>
            <w:r w:rsidR="00907289" w:rsidRPr="00C71979">
              <w:rPr>
                <w:sz w:val="22"/>
                <w:szCs w:val="22"/>
                <w:lang w:val="en-US" w:eastAsia="ru-RU"/>
              </w:rPr>
              <w:t xml:space="preserve">: </w:t>
            </w:r>
            <w:r w:rsidR="005C6CAB" w:rsidRPr="00475752">
              <w:rPr>
                <w:rFonts w:eastAsia="Calibri"/>
                <w:i/>
                <w:iCs/>
                <w:sz w:val="22"/>
                <w:szCs w:val="22"/>
                <w:lang w:val="en-US"/>
              </w:rPr>
              <w:t>14.03.2022</w:t>
            </w:r>
            <w:r w:rsidR="00B80D53" w:rsidRPr="00C71979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907289" w:rsidRPr="00C71979" w:rsidRDefault="00907289" w:rsidP="00A13B56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Parties </w:t>
            </w:r>
            <w:r w:rsidR="00511BCC">
              <w:rPr>
                <w:sz w:val="22"/>
                <w:szCs w:val="22"/>
                <w:lang w:val="en-US" w:eastAsia="ru-RU"/>
              </w:rPr>
              <w:t>to</w:t>
            </w:r>
            <w:r w:rsidRPr="00C71979">
              <w:rPr>
                <w:sz w:val="22"/>
                <w:szCs w:val="22"/>
                <w:lang w:val="en-US" w:eastAsia="ru-RU"/>
              </w:rPr>
              <w:t xml:space="preserve"> the transaction: </w:t>
            </w:r>
            <w:r w:rsidR="008F6028">
              <w:rPr>
                <w:i/>
                <w:sz w:val="22"/>
                <w:szCs w:val="22"/>
                <w:lang w:val="en-US" w:eastAsia="ru-RU"/>
              </w:rPr>
              <w:t>PJSC KTK</w:t>
            </w:r>
            <w:r w:rsidR="003477F7" w:rsidRPr="00C71979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C71979">
              <w:rPr>
                <w:i/>
                <w:sz w:val="22"/>
                <w:szCs w:val="22"/>
                <w:lang w:val="en-US" w:eastAsia="ru-RU"/>
              </w:rPr>
              <w:t xml:space="preserve">(the </w:t>
            </w:r>
            <w:r w:rsidR="008F6028">
              <w:rPr>
                <w:i/>
                <w:sz w:val="22"/>
                <w:szCs w:val="22"/>
                <w:lang w:val="en-US" w:eastAsia="ru-RU"/>
              </w:rPr>
              <w:t>Borrower</w:t>
            </w:r>
            <w:r w:rsidRPr="00C71979">
              <w:rPr>
                <w:i/>
                <w:sz w:val="22"/>
                <w:szCs w:val="22"/>
                <w:lang w:val="en-US" w:eastAsia="ru-RU"/>
              </w:rPr>
              <w:t>)</w:t>
            </w:r>
            <w:r w:rsidR="003477F7" w:rsidRPr="00C71979">
              <w:rPr>
                <w:i/>
                <w:sz w:val="22"/>
                <w:szCs w:val="22"/>
                <w:lang w:val="en-US" w:eastAsia="ru-RU"/>
              </w:rPr>
              <w:t xml:space="preserve"> and </w:t>
            </w:r>
            <w:r w:rsidR="00530A34">
              <w:rPr>
                <w:i/>
                <w:sz w:val="22"/>
                <w:szCs w:val="22"/>
                <w:lang w:val="en-US" w:eastAsia="ru-RU"/>
              </w:rPr>
              <w:t xml:space="preserve">AO </w:t>
            </w:r>
            <w:proofErr w:type="spellStart"/>
            <w:r w:rsidR="00530A34">
              <w:rPr>
                <w:i/>
                <w:sz w:val="22"/>
                <w:szCs w:val="22"/>
                <w:lang w:val="en-US" w:eastAsia="ru-RU"/>
              </w:rPr>
              <w:t>UniCredit</w:t>
            </w:r>
            <w:proofErr w:type="spellEnd"/>
            <w:r w:rsidR="00530A34">
              <w:rPr>
                <w:i/>
                <w:sz w:val="22"/>
                <w:szCs w:val="22"/>
                <w:lang w:val="en-US" w:eastAsia="ru-RU"/>
              </w:rPr>
              <w:t xml:space="preserve"> Bank</w:t>
            </w:r>
            <w:r w:rsidR="008F6028">
              <w:rPr>
                <w:i/>
                <w:sz w:val="22"/>
                <w:szCs w:val="22"/>
                <w:lang w:val="en-US" w:eastAsia="ru-RU"/>
              </w:rPr>
              <w:t xml:space="preserve"> (the Bank)</w:t>
            </w:r>
            <w:r w:rsidRPr="00C71979">
              <w:rPr>
                <w:i/>
                <w:iCs/>
                <w:sz w:val="22"/>
                <w:szCs w:val="22"/>
                <w:lang w:val="en-US"/>
              </w:rPr>
              <w:t>;</w:t>
            </w:r>
          </w:p>
          <w:p w:rsidR="005C6CAB" w:rsidRDefault="00907289" w:rsidP="00A13B5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Amount of the transaction in money and percentage terms of the value of assets of the </w:t>
            </w:r>
            <w:r w:rsidR="003477F7" w:rsidRPr="00C71979">
              <w:rPr>
                <w:rFonts w:eastAsia="Calibri"/>
                <w:sz w:val="22"/>
                <w:szCs w:val="22"/>
                <w:lang w:val="en-US"/>
              </w:rPr>
              <w:t>issuer</w:t>
            </w:r>
            <w:r w:rsidRPr="00C71979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</w:p>
          <w:p w:rsidR="005C6CAB" w:rsidRPr="005C6CAB" w:rsidRDefault="005C6CAB" w:rsidP="005C6CA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/>
              </w:rPr>
              <w:t>Agreement</w:t>
            </w:r>
            <w:r w:rsidRPr="005C6CAB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1 - 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4 530 000 000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RUR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or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11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>32%;</w:t>
            </w:r>
          </w:p>
          <w:p w:rsidR="005C6CAB" w:rsidRPr="005C6CAB" w:rsidRDefault="005C6CAB" w:rsidP="005C6CA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/>
              </w:rPr>
              <w:t>Agreement</w:t>
            </w:r>
            <w:r w:rsidRPr="005C6CAB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2 - 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4 471 031 480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RUR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or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11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>17%;</w:t>
            </w:r>
          </w:p>
          <w:p w:rsidR="005C6CAB" w:rsidRPr="005C6CAB" w:rsidRDefault="005C6CAB" w:rsidP="005C6CA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/>
              </w:rPr>
              <w:t>Agreement</w:t>
            </w:r>
            <w:r w:rsidRPr="005C6CAB">
              <w:rPr>
                <w:rFonts w:eastAsia="Calibri"/>
                <w:i/>
                <w:iCs/>
                <w:sz w:val="22"/>
                <w:szCs w:val="22"/>
                <w:lang w:val="en-US"/>
              </w:rPr>
              <w:t xml:space="preserve"> 3 - 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4 506 292 245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RUR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or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 xml:space="preserve"> 11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 w:rsidRPr="005C6CAB">
              <w:rPr>
                <w:i/>
                <w:color w:val="000000"/>
                <w:sz w:val="22"/>
                <w:szCs w:val="22"/>
                <w:lang w:val="en-US"/>
              </w:rPr>
              <w:t>26%.</w:t>
            </w:r>
          </w:p>
          <w:p w:rsidR="005C6CAB" w:rsidRPr="00475752" w:rsidRDefault="005C6CAB" w:rsidP="00A13B56">
            <w:pPr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07C8">
              <w:rPr>
                <w:rFonts w:eastAsia="Calibri"/>
                <w:i/>
                <w:sz w:val="22"/>
                <w:szCs w:val="22"/>
                <w:lang w:val="en-US"/>
              </w:rPr>
              <w:t>The cumulative amount of the principal debt under three agreements taking into account the Loan Agreement</w:t>
            </w:r>
            <w:r w:rsidR="00475752">
              <w:rPr>
                <w:rFonts w:eastAsia="Calibri"/>
                <w:i/>
                <w:sz w:val="22"/>
                <w:szCs w:val="22"/>
                <w:lang w:val="en-US"/>
              </w:rPr>
              <w:t>,</w:t>
            </w:r>
            <w:r w:rsidRPr="003207C8">
              <w:rPr>
                <w:rFonts w:eastAsia="Calibri"/>
                <w:i/>
                <w:sz w:val="22"/>
                <w:szCs w:val="22"/>
                <w:lang w:val="en-US"/>
              </w:rPr>
              <w:t xml:space="preserve"> which was previously concluded with AO </w:t>
            </w:r>
            <w:proofErr w:type="spellStart"/>
            <w:r w:rsidRPr="003207C8">
              <w:rPr>
                <w:rFonts w:eastAsia="Calibri"/>
                <w:i/>
                <w:sz w:val="22"/>
                <w:szCs w:val="22"/>
                <w:lang w:val="en-US"/>
              </w:rPr>
              <w:t>UniCredit</w:t>
            </w:r>
            <w:proofErr w:type="spellEnd"/>
            <w:r w:rsidRPr="003207C8">
              <w:rPr>
                <w:rFonts w:eastAsia="Calibri"/>
                <w:i/>
                <w:sz w:val="22"/>
                <w:szCs w:val="22"/>
                <w:lang w:val="en-US"/>
              </w:rPr>
              <w:t xml:space="preserve"> Bank</w:t>
            </w:r>
            <w:r w:rsidR="00475752">
              <w:rPr>
                <w:rFonts w:eastAsia="Calibri"/>
                <w:i/>
                <w:sz w:val="22"/>
                <w:szCs w:val="22"/>
                <w:lang w:val="en-US"/>
              </w:rPr>
              <w:t>,</w:t>
            </w:r>
            <w:r w:rsidRPr="003207C8">
              <w:rPr>
                <w:rFonts w:eastAsia="Calibri"/>
                <w:i/>
                <w:sz w:val="22"/>
                <w:szCs w:val="22"/>
                <w:lang w:val="en-US"/>
              </w:rPr>
              <w:t xml:space="preserve"> may not exceed 40 000 000.00 (forty million) Euros</w:t>
            </w:r>
            <w:r w:rsidR="00475752">
              <w:rPr>
                <w:rFonts w:eastAsia="Calibri"/>
                <w:i/>
                <w:sz w:val="22"/>
                <w:szCs w:val="22"/>
                <w:lang w:val="en-US"/>
              </w:rPr>
              <w:t xml:space="preserve"> (taking into account the loan interest not over </w:t>
            </w:r>
            <w:r w:rsidR="00475752" w:rsidRPr="00475752">
              <w:rPr>
                <w:i/>
                <w:color w:val="000000"/>
                <w:sz w:val="22"/>
                <w:szCs w:val="22"/>
                <w:lang w:val="en-US"/>
              </w:rPr>
              <w:t>4 471 031</w:t>
            </w:r>
            <w:r w:rsidR="00475752">
              <w:rPr>
                <w:i/>
                <w:color w:val="000000"/>
                <w:sz w:val="22"/>
                <w:szCs w:val="22"/>
                <w:lang w:val="en-US"/>
              </w:rPr>
              <w:t> </w:t>
            </w:r>
            <w:r w:rsidR="00475752" w:rsidRPr="00475752">
              <w:rPr>
                <w:i/>
                <w:color w:val="000000"/>
                <w:sz w:val="22"/>
                <w:szCs w:val="22"/>
                <w:lang w:val="en-US"/>
              </w:rPr>
              <w:t>480</w:t>
            </w:r>
            <w:r w:rsidR="00475752">
              <w:rPr>
                <w:i/>
                <w:color w:val="000000"/>
                <w:sz w:val="22"/>
                <w:szCs w:val="22"/>
                <w:lang w:val="en-US"/>
              </w:rPr>
              <w:t xml:space="preserve"> RUR).</w:t>
            </w:r>
          </w:p>
          <w:p w:rsidR="00907289" w:rsidRPr="00745FD1" w:rsidRDefault="001A2FF7" w:rsidP="00A13B56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Value of the </w:t>
            </w:r>
            <w:r w:rsidR="00835059">
              <w:rPr>
                <w:sz w:val="22"/>
                <w:szCs w:val="22"/>
                <w:lang w:val="en-US" w:eastAsia="ru-RU"/>
              </w:rPr>
              <w:t xml:space="preserve">issuer’s </w:t>
            </w:r>
            <w:r w:rsidRPr="00C71979">
              <w:rPr>
                <w:sz w:val="22"/>
                <w:szCs w:val="22"/>
                <w:lang w:val="en-US" w:eastAsia="ru-RU"/>
              </w:rPr>
              <w:t xml:space="preserve">assets </w:t>
            </w:r>
            <w:r w:rsidRPr="00745FD1">
              <w:rPr>
                <w:rFonts w:eastAsia="Calibri"/>
                <w:sz w:val="22"/>
                <w:szCs w:val="22"/>
                <w:lang w:val="en-US"/>
              </w:rPr>
              <w:t xml:space="preserve">as of the end </w:t>
            </w:r>
            <w:r w:rsidR="00475752">
              <w:rPr>
                <w:rFonts w:eastAsia="Calibri"/>
                <w:sz w:val="22"/>
                <w:szCs w:val="22"/>
                <w:lang w:val="en-US"/>
              </w:rPr>
              <w:t xml:space="preserve">date </w:t>
            </w:r>
            <w:r w:rsidRPr="00745FD1">
              <w:rPr>
                <w:rFonts w:eastAsia="Calibri"/>
                <w:sz w:val="22"/>
                <w:szCs w:val="22"/>
                <w:lang w:val="en-US"/>
              </w:rPr>
              <w:t xml:space="preserve">of the </w:t>
            </w:r>
            <w:r w:rsidR="00B006D0">
              <w:rPr>
                <w:rFonts w:eastAsia="Calibri"/>
                <w:sz w:val="22"/>
                <w:szCs w:val="22"/>
                <w:lang w:val="en-US"/>
              </w:rPr>
              <w:t xml:space="preserve">last </w:t>
            </w:r>
            <w:r w:rsidRPr="00745FD1">
              <w:rPr>
                <w:rFonts w:eastAsia="Calibri"/>
                <w:sz w:val="22"/>
                <w:szCs w:val="22"/>
                <w:lang w:val="en-US"/>
              </w:rPr>
              <w:t>reporting period preceding the transaction (the contract):</w:t>
            </w:r>
            <w:r w:rsidR="00907289" w:rsidRPr="00745FD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835059" w:rsidRPr="00835059">
              <w:rPr>
                <w:i/>
                <w:color w:val="000000"/>
                <w:sz w:val="22"/>
                <w:szCs w:val="22"/>
                <w:lang w:val="en-US"/>
              </w:rPr>
              <w:t xml:space="preserve">40 029 277 000 </w:t>
            </w:r>
            <w:r w:rsidR="00835059">
              <w:rPr>
                <w:i/>
                <w:sz w:val="22"/>
                <w:szCs w:val="22"/>
                <w:lang w:val="en-US"/>
              </w:rPr>
              <w:t>RUR as of 31.12.2018</w:t>
            </w:r>
            <w:r w:rsidR="00907289" w:rsidRPr="00745FD1">
              <w:rPr>
                <w:i/>
                <w:sz w:val="22"/>
                <w:szCs w:val="22"/>
                <w:lang w:val="en-US"/>
              </w:rPr>
              <w:t>;</w:t>
            </w:r>
          </w:p>
          <w:p w:rsidR="00350A19" w:rsidRPr="00CC3911" w:rsidRDefault="00907289" w:rsidP="00A13B56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C71979">
              <w:rPr>
                <w:sz w:val="22"/>
                <w:szCs w:val="22"/>
                <w:lang w:val="en-US" w:eastAsia="ru-RU"/>
              </w:rPr>
              <w:t xml:space="preserve">Date of transaction (date of contract): </w:t>
            </w:r>
            <w:r w:rsidR="002C4A8D">
              <w:rPr>
                <w:rFonts w:eastAsia="Calibri"/>
                <w:i/>
                <w:sz w:val="22"/>
                <w:szCs w:val="22"/>
                <w:lang w:val="en-US"/>
              </w:rPr>
              <w:t>14 March 2019</w:t>
            </w:r>
            <w:r w:rsidR="00CC3911">
              <w:rPr>
                <w:rFonts w:eastAsia="Calibri"/>
                <w:i/>
                <w:sz w:val="22"/>
                <w:szCs w:val="22"/>
                <w:lang w:val="en-US"/>
              </w:rPr>
              <w:t>;</w:t>
            </w:r>
          </w:p>
          <w:p w:rsidR="00907289" w:rsidRPr="002C4A8D" w:rsidRDefault="002C4A8D" w:rsidP="0087781F">
            <w:pPr>
              <w:jc w:val="both"/>
              <w:rPr>
                <w:i/>
                <w:sz w:val="22"/>
                <w:szCs w:val="22"/>
                <w:lang w:val="en-US" w:eastAsia="ru-RU"/>
              </w:rPr>
            </w:pPr>
            <w:r>
              <w:rPr>
                <w:i/>
                <w:sz w:val="22"/>
                <w:szCs w:val="22"/>
                <w:lang w:val="en-US" w:eastAsia="ru-RU"/>
              </w:rPr>
              <w:t>The management body has not made a resolution with respect to</w:t>
            </w:r>
            <w:r w:rsidR="000C2B03" w:rsidRPr="003477F7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i/>
                <w:sz w:val="22"/>
                <w:szCs w:val="22"/>
                <w:lang w:val="en-US" w:eastAsia="ru-RU"/>
              </w:rPr>
              <w:t xml:space="preserve">the settlement </w:t>
            </w:r>
            <w:r w:rsidR="0087781F">
              <w:rPr>
                <w:i/>
                <w:sz w:val="22"/>
                <w:szCs w:val="22"/>
                <w:lang w:val="en-US" w:eastAsia="ru-RU"/>
              </w:rPr>
              <w:t>or</w:t>
            </w:r>
            <w:r>
              <w:rPr>
                <w:i/>
                <w:sz w:val="22"/>
                <w:szCs w:val="22"/>
                <w:lang w:val="en-US" w:eastAsia="ru-RU"/>
              </w:rPr>
              <w:t xml:space="preserve"> further approval of the transaction.</w:t>
            </w:r>
          </w:p>
        </w:tc>
      </w:tr>
    </w:tbl>
    <w:p w:rsidR="00907289" w:rsidRPr="003477F7" w:rsidRDefault="00907289" w:rsidP="00907289">
      <w:pPr>
        <w:pStyle w:val="prilozhenie"/>
        <w:rPr>
          <w:sz w:val="22"/>
          <w:szCs w:val="22"/>
          <w:lang w:val="en-US"/>
        </w:rPr>
      </w:pPr>
    </w:p>
    <w:tbl>
      <w:tblPr>
        <w:tblW w:w="0" w:type="auto"/>
        <w:tblLook w:val="00BF"/>
      </w:tblPr>
      <w:tblGrid>
        <w:gridCol w:w="9571"/>
      </w:tblGrid>
      <w:tr w:rsidR="00907289" w:rsidRPr="003477F7" w:rsidTr="000C2B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9" w:rsidRPr="003477F7" w:rsidRDefault="00907289" w:rsidP="00A13B5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477F7">
              <w:rPr>
                <w:sz w:val="22"/>
                <w:szCs w:val="22"/>
              </w:rPr>
              <w:t xml:space="preserve">3. </w:t>
            </w:r>
            <w:r w:rsidRPr="003477F7">
              <w:rPr>
                <w:sz w:val="22"/>
                <w:szCs w:val="22"/>
                <w:lang w:val="en-US"/>
              </w:rPr>
              <w:t>Signature</w:t>
            </w:r>
          </w:p>
        </w:tc>
      </w:tr>
      <w:tr w:rsidR="000C2B03" w:rsidRPr="00757C50" w:rsidTr="000C2B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3" w:rsidRPr="00757C50" w:rsidRDefault="000C2B03" w:rsidP="001D7869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</w:p>
          <w:p w:rsidR="000C2B03" w:rsidRPr="00757C50" w:rsidRDefault="000C2B03" w:rsidP="001D7869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 w:rsidRPr="00757C50">
              <w:rPr>
                <w:sz w:val="22"/>
                <w:szCs w:val="22"/>
                <w:lang w:val="en-US"/>
              </w:rPr>
              <w:t xml:space="preserve">3.1. General Director      </w:t>
            </w:r>
            <w:r>
              <w:rPr>
                <w:sz w:val="22"/>
                <w:szCs w:val="22"/>
                <w:lang w:val="en-US"/>
              </w:rPr>
              <w:t xml:space="preserve">                             </w:t>
            </w:r>
            <w:r w:rsidRPr="00757C50">
              <w:rPr>
                <w:sz w:val="22"/>
                <w:szCs w:val="22"/>
                <w:lang w:val="en-US"/>
              </w:rPr>
              <w:t xml:space="preserve">______________        </w:t>
            </w:r>
            <w:r>
              <w:rPr>
                <w:sz w:val="22"/>
                <w:szCs w:val="22"/>
                <w:lang w:val="en-US"/>
              </w:rPr>
              <w:t xml:space="preserve">E.V. </w:t>
            </w:r>
            <w:proofErr w:type="spellStart"/>
            <w:r>
              <w:rPr>
                <w:sz w:val="22"/>
                <w:szCs w:val="22"/>
                <w:lang w:val="en-US"/>
              </w:rPr>
              <w:t>Alexeenko</w:t>
            </w:r>
            <w:proofErr w:type="spellEnd"/>
          </w:p>
          <w:p w:rsidR="000C2B03" w:rsidRPr="00757C50" w:rsidRDefault="000C2B03" w:rsidP="001D7869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 w:rsidRPr="00757C50">
              <w:rPr>
                <w:sz w:val="22"/>
                <w:szCs w:val="22"/>
                <w:lang w:val="en-US"/>
              </w:rPr>
              <w:t xml:space="preserve">                                                                             (signed by)</w:t>
            </w:r>
          </w:p>
          <w:p w:rsidR="000C2B03" w:rsidRPr="00757C50" w:rsidRDefault="000C2B03" w:rsidP="001D7869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</w:p>
          <w:p w:rsidR="000C2B03" w:rsidRPr="00757C50" w:rsidRDefault="000C2B03" w:rsidP="001D7869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 w:rsidRPr="00757C50">
              <w:rPr>
                <w:sz w:val="22"/>
                <w:szCs w:val="22"/>
              </w:rPr>
              <w:t xml:space="preserve">3.2. </w:t>
            </w:r>
            <w:r w:rsidRPr="00757C50">
              <w:rPr>
                <w:sz w:val="22"/>
                <w:szCs w:val="22"/>
                <w:lang w:val="en-US"/>
              </w:rPr>
              <w:t>Date</w:t>
            </w:r>
            <w:r w:rsidRPr="00757C50">
              <w:rPr>
                <w:sz w:val="22"/>
                <w:szCs w:val="22"/>
              </w:rPr>
              <w:t xml:space="preserve"> </w:t>
            </w:r>
            <w:r w:rsidR="00CE541A">
              <w:rPr>
                <w:sz w:val="22"/>
                <w:szCs w:val="22"/>
                <w:lang w:val="en-US"/>
              </w:rPr>
              <w:t xml:space="preserve">15 </w:t>
            </w:r>
            <w:r w:rsidR="0031024D">
              <w:rPr>
                <w:sz w:val="22"/>
                <w:szCs w:val="22"/>
                <w:lang w:val="en-US"/>
              </w:rPr>
              <w:t>March</w:t>
            </w:r>
            <w:r w:rsidR="00CE541A">
              <w:rPr>
                <w:sz w:val="22"/>
                <w:szCs w:val="22"/>
                <w:lang w:val="en-US"/>
              </w:rPr>
              <w:t xml:space="preserve"> 201</w:t>
            </w:r>
            <w:r w:rsidR="0031024D">
              <w:rPr>
                <w:sz w:val="22"/>
                <w:szCs w:val="22"/>
                <w:lang w:val="en-US"/>
              </w:rPr>
              <w:t>9</w:t>
            </w:r>
            <w:r w:rsidRPr="00757C50">
              <w:rPr>
                <w:sz w:val="22"/>
                <w:szCs w:val="22"/>
              </w:rPr>
              <w:t xml:space="preserve">              </w:t>
            </w:r>
            <w:r w:rsidRPr="00757C50">
              <w:rPr>
                <w:sz w:val="22"/>
                <w:szCs w:val="22"/>
                <w:lang w:val="en-US"/>
              </w:rPr>
              <w:t xml:space="preserve">          </w:t>
            </w:r>
            <w:r w:rsidRPr="00757C50">
              <w:rPr>
                <w:sz w:val="22"/>
                <w:szCs w:val="22"/>
              </w:rPr>
              <w:t xml:space="preserve">      </w:t>
            </w:r>
            <w:r w:rsidRPr="00757C50">
              <w:rPr>
                <w:sz w:val="22"/>
                <w:szCs w:val="22"/>
                <w:lang w:val="en-US"/>
              </w:rPr>
              <w:t>seal/stamp</w:t>
            </w:r>
          </w:p>
          <w:p w:rsidR="000C2B03" w:rsidRPr="00757C50" w:rsidRDefault="000C2B03" w:rsidP="001D786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07289" w:rsidRPr="00964683" w:rsidRDefault="00907289" w:rsidP="00907289">
      <w:pPr>
        <w:pStyle w:val="prilozhenie"/>
        <w:ind w:firstLine="0"/>
        <w:jc w:val="center"/>
        <w:rPr>
          <w:sz w:val="22"/>
          <w:szCs w:val="22"/>
          <w:lang w:val="en-US"/>
        </w:rPr>
      </w:pPr>
    </w:p>
    <w:p w:rsidR="006E0513" w:rsidRDefault="006E0513" w:rsidP="00907289">
      <w:pPr>
        <w:rPr>
          <w:sz w:val="22"/>
          <w:szCs w:val="22"/>
          <w:lang w:val="en-US"/>
        </w:rPr>
      </w:pPr>
    </w:p>
    <w:p w:rsidR="002065E1" w:rsidRDefault="002065E1" w:rsidP="00907289">
      <w:pPr>
        <w:rPr>
          <w:sz w:val="22"/>
          <w:szCs w:val="22"/>
          <w:lang w:val="en-US"/>
        </w:rPr>
      </w:pPr>
    </w:p>
    <w:p w:rsidR="002065E1" w:rsidRDefault="002065E1" w:rsidP="00907289">
      <w:pPr>
        <w:rPr>
          <w:sz w:val="22"/>
          <w:szCs w:val="22"/>
          <w:lang w:val="en-US"/>
        </w:rPr>
      </w:pPr>
    </w:p>
    <w:p w:rsidR="002065E1" w:rsidRDefault="002065E1" w:rsidP="00907289">
      <w:pPr>
        <w:rPr>
          <w:sz w:val="22"/>
          <w:szCs w:val="22"/>
          <w:lang w:val="en-US"/>
        </w:rPr>
      </w:pPr>
    </w:p>
    <w:p w:rsidR="002065E1" w:rsidRDefault="002065E1" w:rsidP="00907289">
      <w:pPr>
        <w:rPr>
          <w:sz w:val="22"/>
          <w:szCs w:val="22"/>
          <w:lang w:val="en-US"/>
        </w:rPr>
      </w:pPr>
    </w:p>
    <w:p w:rsidR="002065E1" w:rsidRPr="003477F7" w:rsidRDefault="002065E1" w:rsidP="00907289">
      <w:pPr>
        <w:rPr>
          <w:sz w:val="22"/>
          <w:szCs w:val="22"/>
          <w:lang w:val="en-US"/>
        </w:rPr>
      </w:pPr>
    </w:p>
    <w:sectPr w:rsidR="002065E1" w:rsidRPr="003477F7" w:rsidSect="008D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13"/>
    <w:rsid w:val="00005666"/>
    <w:rsid w:val="000228EC"/>
    <w:rsid w:val="000532B3"/>
    <w:rsid w:val="00053C4C"/>
    <w:rsid w:val="00065804"/>
    <w:rsid w:val="00075450"/>
    <w:rsid w:val="000929A1"/>
    <w:rsid w:val="0009601F"/>
    <w:rsid w:val="0009690C"/>
    <w:rsid w:val="000A4B85"/>
    <w:rsid w:val="000C02AA"/>
    <w:rsid w:val="000C2B03"/>
    <w:rsid w:val="000D67FC"/>
    <w:rsid w:val="00101609"/>
    <w:rsid w:val="00106F40"/>
    <w:rsid w:val="00166C12"/>
    <w:rsid w:val="00175A9E"/>
    <w:rsid w:val="00197226"/>
    <w:rsid w:val="001A2FF7"/>
    <w:rsid w:val="001A5298"/>
    <w:rsid w:val="001D7869"/>
    <w:rsid w:val="001F1877"/>
    <w:rsid w:val="002057E5"/>
    <w:rsid w:val="002065E1"/>
    <w:rsid w:val="00217B02"/>
    <w:rsid w:val="00224507"/>
    <w:rsid w:val="0022453F"/>
    <w:rsid w:val="00226A9D"/>
    <w:rsid w:val="0023514D"/>
    <w:rsid w:val="0026767C"/>
    <w:rsid w:val="0029044D"/>
    <w:rsid w:val="002A60E0"/>
    <w:rsid w:val="002C4A8D"/>
    <w:rsid w:val="002D0867"/>
    <w:rsid w:val="002D40FA"/>
    <w:rsid w:val="002D65C7"/>
    <w:rsid w:val="002D7C4D"/>
    <w:rsid w:val="0031024D"/>
    <w:rsid w:val="00311401"/>
    <w:rsid w:val="003179A9"/>
    <w:rsid w:val="003207C8"/>
    <w:rsid w:val="0033610E"/>
    <w:rsid w:val="003477F7"/>
    <w:rsid w:val="00350A19"/>
    <w:rsid w:val="003740B4"/>
    <w:rsid w:val="00381C22"/>
    <w:rsid w:val="003E4BF3"/>
    <w:rsid w:val="003E6D4F"/>
    <w:rsid w:val="003F767D"/>
    <w:rsid w:val="00434380"/>
    <w:rsid w:val="00437187"/>
    <w:rsid w:val="00475752"/>
    <w:rsid w:val="00493A3E"/>
    <w:rsid w:val="004C6812"/>
    <w:rsid w:val="004F64BD"/>
    <w:rsid w:val="005113E8"/>
    <w:rsid w:val="00511BCC"/>
    <w:rsid w:val="00530A34"/>
    <w:rsid w:val="00532E9B"/>
    <w:rsid w:val="005335CF"/>
    <w:rsid w:val="00537647"/>
    <w:rsid w:val="00585214"/>
    <w:rsid w:val="00587151"/>
    <w:rsid w:val="005A2324"/>
    <w:rsid w:val="005B5DF9"/>
    <w:rsid w:val="005C1582"/>
    <w:rsid w:val="005C2C67"/>
    <w:rsid w:val="005C32CF"/>
    <w:rsid w:val="005C6CAB"/>
    <w:rsid w:val="005F6C4C"/>
    <w:rsid w:val="00603613"/>
    <w:rsid w:val="00665D58"/>
    <w:rsid w:val="00667240"/>
    <w:rsid w:val="006718A6"/>
    <w:rsid w:val="00683389"/>
    <w:rsid w:val="00690F05"/>
    <w:rsid w:val="006B6391"/>
    <w:rsid w:val="006E0513"/>
    <w:rsid w:val="006E3BDE"/>
    <w:rsid w:val="006E754F"/>
    <w:rsid w:val="00702660"/>
    <w:rsid w:val="0070283C"/>
    <w:rsid w:val="007179AB"/>
    <w:rsid w:val="00736890"/>
    <w:rsid w:val="00745FD1"/>
    <w:rsid w:val="00747052"/>
    <w:rsid w:val="00752B06"/>
    <w:rsid w:val="00755B99"/>
    <w:rsid w:val="007647BA"/>
    <w:rsid w:val="00774CF4"/>
    <w:rsid w:val="007D68E5"/>
    <w:rsid w:val="007E3C1D"/>
    <w:rsid w:val="007F7567"/>
    <w:rsid w:val="00825BC6"/>
    <w:rsid w:val="00831773"/>
    <w:rsid w:val="00835059"/>
    <w:rsid w:val="00840953"/>
    <w:rsid w:val="00852A39"/>
    <w:rsid w:val="0087781F"/>
    <w:rsid w:val="00893EFD"/>
    <w:rsid w:val="008D742F"/>
    <w:rsid w:val="008E4AC3"/>
    <w:rsid w:val="008F6028"/>
    <w:rsid w:val="00900617"/>
    <w:rsid w:val="009012C1"/>
    <w:rsid w:val="00907289"/>
    <w:rsid w:val="00925A24"/>
    <w:rsid w:val="00926781"/>
    <w:rsid w:val="00926F78"/>
    <w:rsid w:val="00937E14"/>
    <w:rsid w:val="00964683"/>
    <w:rsid w:val="00975BAC"/>
    <w:rsid w:val="009C7AE7"/>
    <w:rsid w:val="009D4929"/>
    <w:rsid w:val="009D6DCB"/>
    <w:rsid w:val="00A13B56"/>
    <w:rsid w:val="00A274BE"/>
    <w:rsid w:val="00A64EB1"/>
    <w:rsid w:val="00A7716D"/>
    <w:rsid w:val="00AD4554"/>
    <w:rsid w:val="00B006D0"/>
    <w:rsid w:val="00B2487A"/>
    <w:rsid w:val="00B669DA"/>
    <w:rsid w:val="00B77A31"/>
    <w:rsid w:val="00B80D53"/>
    <w:rsid w:val="00B907E4"/>
    <w:rsid w:val="00BC53C6"/>
    <w:rsid w:val="00BF1D63"/>
    <w:rsid w:val="00C25BC2"/>
    <w:rsid w:val="00C533CC"/>
    <w:rsid w:val="00C5679A"/>
    <w:rsid w:val="00C71979"/>
    <w:rsid w:val="00C82186"/>
    <w:rsid w:val="00CC3911"/>
    <w:rsid w:val="00CE541A"/>
    <w:rsid w:val="00D32DFC"/>
    <w:rsid w:val="00D5191C"/>
    <w:rsid w:val="00D54B0E"/>
    <w:rsid w:val="00D62F5F"/>
    <w:rsid w:val="00DB5AED"/>
    <w:rsid w:val="00E66220"/>
    <w:rsid w:val="00E80595"/>
    <w:rsid w:val="00E93B1D"/>
    <w:rsid w:val="00E96734"/>
    <w:rsid w:val="00EA60A7"/>
    <w:rsid w:val="00EC6AE7"/>
    <w:rsid w:val="00F11916"/>
    <w:rsid w:val="00F62C54"/>
    <w:rsid w:val="00F65D12"/>
    <w:rsid w:val="00F700CD"/>
    <w:rsid w:val="00F93B4C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13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6E051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6E051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6E0513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513"/>
  </w:style>
  <w:style w:type="paragraph" w:styleId="a3">
    <w:name w:val="Body Text"/>
    <w:basedOn w:val="a"/>
    <w:link w:val="a4"/>
    <w:rsid w:val="006E051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6E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ead1">
    <w:name w:val="Заголовок 1.Head 1"/>
    <w:basedOn w:val="a"/>
    <w:next w:val="a"/>
    <w:rsid w:val="0033610E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5">
    <w:name w:val="Hyperlink"/>
    <w:rsid w:val="00336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http://ktk.company/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http://www.e-disclosure.ru/portal/company.aspx?id=5964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Людмила</dc:creator>
  <cp:lastModifiedBy>Ryabova.LB</cp:lastModifiedBy>
  <cp:revision>2</cp:revision>
  <dcterms:created xsi:type="dcterms:W3CDTF">2019-03-18T01:59:00Z</dcterms:created>
  <dcterms:modified xsi:type="dcterms:W3CDTF">2019-03-18T01:59:00Z</dcterms:modified>
</cp:coreProperties>
</file>